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60" w:rsidRPr="00897960" w:rsidRDefault="00897960" w:rsidP="00FE4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С 1 января 2020 усилена защита добросовестных приобретателей недвижимости</w:t>
      </w:r>
      <w:r>
        <w:rPr>
          <w:rStyle w:val="a7"/>
          <w:sz w:val="28"/>
          <w:szCs w:val="28"/>
        </w:rPr>
        <w:t>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Федеральным законом от 16.12.2019 № 430-ФЗ, вступившим в силу с 01.01.2020, внесены изменения в часть первую Гражданского кодекса РФ, в соответствии с которыми усилена защита добросовестных приобретателей недвижимости.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Так, приобретатель недвижимого имущества, полагавшийся при его приобретении на данные государственного реестра, признается добросовестным (статьи 234, 302 ГК РФ), пока в судебном порядке не доказано, что он знал или должен был знать об отсутствии права на отчуждение этого имущества у лица, от которого ему перешли права.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Изменилось правило об исчислении срока </w:t>
      </w:r>
      <w:proofErr w:type="spellStart"/>
      <w:r w:rsidRPr="00897960">
        <w:rPr>
          <w:sz w:val="28"/>
          <w:szCs w:val="28"/>
        </w:rPr>
        <w:t>приобретательной</w:t>
      </w:r>
      <w:proofErr w:type="spellEnd"/>
      <w:r w:rsidRPr="00897960">
        <w:rPr>
          <w:sz w:val="28"/>
          <w:szCs w:val="28"/>
        </w:rPr>
        <w:t xml:space="preserve"> давности в отношении вещей, которые можно было истребовать по ст.ст. 301, и 305 ГК РФ. Этот срок будет начинаться со дня, когда вещь поступила в открытое владение добросовестного приобретателя. Если же за ним зарегистрировано право собственности на недвижимость, которой он </w:t>
      </w:r>
      <w:proofErr w:type="gramStart"/>
      <w:r w:rsidRPr="00897960">
        <w:rPr>
          <w:sz w:val="28"/>
          <w:szCs w:val="28"/>
        </w:rPr>
        <w:t>открыто</w:t>
      </w:r>
      <w:proofErr w:type="gramEnd"/>
      <w:r w:rsidRPr="00897960">
        <w:rPr>
          <w:sz w:val="28"/>
          <w:szCs w:val="28"/>
        </w:rPr>
        <w:t xml:space="preserve"> владеет, отсчет срока начнется не позднее момента регистрации такого права. Сейчас он начинает исчисляться раньше, чем истечет срок исковой давности по соответствующим требованиям.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Суд не удовлетворит иск Российской Федерац</w:t>
      </w:r>
      <w:proofErr w:type="gramStart"/>
      <w:r w:rsidRPr="00897960">
        <w:rPr>
          <w:sz w:val="28"/>
          <w:szCs w:val="28"/>
        </w:rPr>
        <w:t>ии и ее</w:t>
      </w:r>
      <w:proofErr w:type="gramEnd"/>
      <w:r w:rsidRPr="00897960">
        <w:rPr>
          <w:sz w:val="28"/>
          <w:szCs w:val="28"/>
        </w:rPr>
        <w:t xml:space="preserve"> субъекта или муниципального образования об истребовании у добросовестного приобретателя жилого помещения, если истец им не владеет уже три года. Срок будут исчислять со дня внесения в ЕГРН записи о праве собственности первого добросовестного приобретателя такой недвижимости.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Об уголовной ответственности за заведомо ложные показания свидетеля, потерпевшего либо заключения или показания эксперта</w:t>
      </w:r>
      <w:r>
        <w:rPr>
          <w:rStyle w:val="a7"/>
          <w:sz w:val="28"/>
          <w:szCs w:val="28"/>
        </w:rPr>
        <w:t>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13.12.2019 вступил в силу Федеральный закон от 02.12.2019 № 410-ФЗ «О внесении изменений в статью 307 Уголовного кодекса Российской Федерации».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Теперь, уголовная ответственность за заведомо ложные показания свидетеля, потерпевшего либо заключения или показания эксперта, специалиста, а равно заведомо неправильный перевод, предусмотрена на всей стадии досудебного производства по уголовному делу, а не исключительно при производстве предварительного расследования, как было пре</w:t>
      </w:r>
      <w:r>
        <w:rPr>
          <w:sz w:val="28"/>
          <w:szCs w:val="28"/>
        </w:rPr>
        <w:t>дусмотрено законодателем ранее.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Таким образом, все перечисленные в статье 307 Уголовного кодекса РФ субъекты несут ответственность с момента регистрации сообщения о преступлении.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Нарушение требований закона чревато назначением наказания в виде штрафа в размере до 80 000 руб., либо обязательных работ на срок до 480 </w:t>
      </w:r>
      <w:r w:rsidRPr="00897960">
        <w:rPr>
          <w:sz w:val="28"/>
          <w:szCs w:val="28"/>
        </w:rPr>
        <w:lastRenderedPageBreak/>
        <w:t>часов, либо исправительных работ на срок до двух лет, либо арестом на срок до трёх месяцев.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Если такое деяние сопряжено с обвинением лица в совершении тяжкого или особо тяжкого преступления, то максимальное наказание для эксперта или специалиста составит до пяти лет лишения свободы.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Работодатели должны представлять сведения о трудовой деятельности для хранения в информационных ресурсах ПФР по специальной форме</w:t>
      </w:r>
      <w:r>
        <w:rPr>
          <w:rStyle w:val="a7"/>
          <w:sz w:val="28"/>
          <w:szCs w:val="28"/>
        </w:rPr>
        <w:t>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7960">
        <w:rPr>
          <w:sz w:val="28"/>
          <w:szCs w:val="28"/>
        </w:rPr>
        <w:t>Начиная с 2020 года работодатели направляют</w:t>
      </w:r>
      <w:proofErr w:type="gramEnd"/>
      <w:r w:rsidRPr="00897960">
        <w:rPr>
          <w:sz w:val="28"/>
          <w:szCs w:val="28"/>
        </w:rPr>
        <w:t xml:space="preserve"> в Пенсионный фонд России сведения о трудовой деятельности работников для формирования электронных трудовых книжек.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Соответствующая форма такой отчетности утверждена постановлением Правления ПФ РФ от 25.12.2019г. №730п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Одновременно постановлением определены правила заполнения формы </w:t>
      </w:r>
      <w:r>
        <w:rPr>
          <w:sz w:val="28"/>
          <w:szCs w:val="28"/>
        </w:rPr>
        <w:t>«</w:t>
      </w:r>
      <w:r w:rsidRPr="00897960">
        <w:rPr>
          <w:sz w:val="28"/>
          <w:szCs w:val="28"/>
        </w:rPr>
        <w:t>Сведения о трудовой деятельности зарегистрированного лица (СЗВ-ТД)</w:t>
      </w:r>
      <w:r>
        <w:rPr>
          <w:sz w:val="28"/>
          <w:szCs w:val="28"/>
        </w:rPr>
        <w:t>»</w:t>
      </w:r>
      <w:r w:rsidRPr="00897960">
        <w:rPr>
          <w:sz w:val="28"/>
          <w:szCs w:val="28"/>
        </w:rPr>
        <w:t xml:space="preserve"> и представления ее в территориальный орган ПФР.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Данная форма СЗВ-ТД является документом персонифицированного учета и заполняется на основании приказов (распоряжений), иных решений или документов, подтверждающих оформление трудовых отношений. Форма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  <w:r w:rsidRPr="00897960">
        <w:rPr>
          <w:sz w:val="28"/>
          <w:szCs w:val="28"/>
        </w:rPr>
        <w:br/>
        <w:t>Форма СЗВ-ТД представляется, начиная с 1 января 2020 года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деятельности. Отчетность также подается, если работодатель меняет свое название или работник пишет заявление о выборе формы трудовой книжки.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По общему правилу страхователь представляет форму СЗВ-ТД в форме электронного документа. Если численность работающих у него зарегистрированных лиц менее 25, то он может представлять фор</w:t>
      </w:r>
      <w:r>
        <w:rPr>
          <w:sz w:val="28"/>
          <w:szCs w:val="28"/>
        </w:rPr>
        <w:t>му СЗВ-ТД на бумажном носителе.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Сведения для цифровых трудовых книжек направляются всеми компаниями и предпринимателями с наемными работниками.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97960">
        <w:rPr>
          <w:sz w:val="28"/>
          <w:szCs w:val="28"/>
        </w:rPr>
        <w:t>Самозанятые</w:t>
      </w:r>
      <w:proofErr w:type="spellEnd"/>
      <w:r w:rsidRPr="00897960">
        <w:rPr>
          <w:sz w:val="28"/>
          <w:szCs w:val="28"/>
        </w:rPr>
        <w:t xml:space="preserve"> граждане не представляют отчетность</w:t>
      </w:r>
      <w:r>
        <w:rPr>
          <w:sz w:val="28"/>
          <w:szCs w:val="28"/>
        </w:rPr>
        <w:t xml:space="preserve"> о своей трудовой деятельности. 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Необходимо напомнить, что до 30 июня 2020 года включительно всем работодателям также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lastRenderedPageBreak/>
        <w:t>Разведенные родители будут вместе нести расходы  по обеспечению ребенка жильем</w:t>
      </w:r>
      <w:r>
        <w:rPr>
          <w:rStyle w:val="a7"/>
          <w:sz w:val="28"/>
          <w:szCs w:val="28"/>
        </w:rPr>
        <w:t>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Федеральным законом от 6 февраля 2020 </w:t>
      </w:r>
      <w:r>
        <w:rPr>
          <w:sz w:val="28"/>
          <w:szCs w:val="28"/>
        </w:rPr>
        <w:t>№</w:t>
      </w:r>
      <w:r w:rsidRPr="00897960">
        <w:rPr>
          <w:sz w:val="28"/>
          <w:szCs w:val="28"/>
        </w:rPr>
        <w:t xml:space="preserve"> 10-ФЗ внесены изменения в статью 86 Семейного кодекса Российской Федерации.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Закон призван защитить жилищные права детей при расторжении брака родителей.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несовершеннолетнего ребенка жильем.</w:t>
      </w: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897960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О регистрации транспортных средств</w:t>
      </w:r>
      <w:r>
        <w:rPr>
          <w:rStyle w:val="a7"/>
          <w:sz w:val="28"/>
          <w:szCs w:val="28"/>
        </w:rPr>
        <w:t>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Правительством Российской Федерации 21.12.2019 принято постановление </w:t>
      </w:r>
      <w:r>
        <w:rPr>
          <w:sz w:val="28"/>
          <w:szCs w:val="28"/>
        </w:rPr>
        <w:t>№</w:t>
      </w:r>
      <w:r w:rsidRPr="00897960">
        <w:rPr>
          <w:sz w:val="28"/>
          <w:szCs w:val="28"/>
        </w:rPr>
        <w:t xml:space="preserve"> 1764 «О государственной регистрации транспортных средств в регистрационных подразделениях Государственной </w:t>
      </w:r>
      <w:proofErr w:type="gramStart"/>
      <w:r w:rsidRPr="00897960">
        <w:rPr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897960">
        <w:rPr>
          <w:sz w:val="28"/>
          <w:szCs w:val="28"/>
        </w:rPr>
        <w:t>».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Данный документ приводит правила регистрации в соответствие закону, которым установлена возможность ставить на учет новые транспортные средства через специализированные организации (производителей или диле</w:t>
      </w:r>
      <w:r w:rsidR="00FE4139">
        <w:rPr>
          <w:sz w:val="28"/>
          <w:szCs w:val="28"/>
        </w:rPr>
        <w:t>ров). Они среди прочего смогут: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- готовить и подавать в ГИБДД документы от имени влад</w:t>
      </w:r>
      <w:r w:rsidR="00FE4139">
        <w:rPr>
          <w:sz w:val="28"/>
          <w:szCs w:val="28"/>
        </w:rPr>
        <w:t>ельца транспортного средства;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изготавливать номерные знаки;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- передавать транспортное средство владельцу с уже установленными знаками </w:t>
      </w:r>
      <w:r w:rsidR="00FE4139">
        <w:rPr>
          <w:sz w:val="28"/>
          <w:szCs w:val="28"/>
        </w:rPr>
        <w:t>и с регистрационным документом.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Специализированные организации и ГИБДД будут взаимодействовать через единый портал </w:t>
      </w:r>
      <w:proofErr w:type="spellStart"/>
      <w:r w:rsidRPr="00897960">
        <w:rPr>
          <w:sz w:val="28"/>
          <w:szCs w:val="28"/>
        </w:rPr>
        <w:t>госуслуг</w:t>
      </w:r>
      <w:proofErr w:type="spellEnd"/>
      <w:r w:rsidRPr="00897960">
        <w:rPr>
          <w:sz w:val="28"/>
          <w:szCs w:val="28"/>
        </w:rPr>
        <w:t xml:space="preserve">. Эти организации обязаны хранить связанные с государственной регистрацией документы в течение трех лет со дня постановки </w:t>
      </w:r>
      <w:r w:rsidR="00FE4139">
        <w:rPr>
          <w:sz w:val="28"/>
          <w:szCs w:val="28"/>
        </w:rPr>
        <w:t>транспортного средства на учет.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Изменения вступили в силу с 1 января 2020 года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Перевод других работников на вакансии, которые не были предложены сокращаемому работнику, является нарушением порядка увольнения</w:t>
      </w:r>
      <w:r w:rsidR="00FE4139">
        <w:rPr>
          <w:rStyle w:val="a7"/>
          <w:sz w:val="28"/>
          <w:szCs w:val="28"/>
        </w:rPr>
        <w:t>.</w:t>
      </w:r>
    </w:p>
    <w:p w:rsidR="00FE4139" w:rsidRPr="00897960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В суде рассматривался спор о правомерности увольнения работницы в связи с сокращением штата организации.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Суды первых двух инстанций отказали работнице в восстановлении на работе, не усмотрев никаких нарушений со стороны работодателя. </w:t>
      </w:r>
      <w:proofErr w:type="gramStart"/>
      <w:r w:rsidRPr="00897960">
        <w:rPr>
          <w:sz w:val="28"/>
          <w:szCs w:val="28"/>
        </w:rPr>
        <w:lastRenderedPageBreak/>
        <w:t>Исследовался</w:t>
      </w:r>
      <w:proofErr w:type="gramEnd"/>
      <w:r w:rsidRPr="00897960">
        <w:rPr>
          <w:sz w:val="28"/>
          <w:szCs w:val="28"/>
        </w:rPr>
        <w:t xml:space="preserve"> в том числе и вопрос о соблюдении требований закона в части необходимости предложения сокращаемому работнику имеющихся у работодателя вакансий.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Судьи пришли к выводу о том, что в период проведения организационно-штатных мероприятий работодатель предлагал истице все имевшиеся вакантные должности, соответствующие ее уровню квалификации и образования, и нижестоящие должности. Некоторые должности не являлись вакантными и не могли быть предложены работнице ввиду того, что к моменту уведомления о сокращении были заняты другими работниками; должности генерального директора, заместителей генерального директора являлись вышестоящими по отношению к должности начальника управления, которую занимала работница; по остальным должностям истица не соответствовала требованиям, в </w:t>
      </w:r>
      <w:proofErr w:type="gramStart"/>
      <w:r w:rsidRPr="00897960">
        <w:rPr>
          <w:sz w:val="28"/>
          <w:szCs w:val="28"/>
        </w:rPr>
        <w:t>связи</w:t>
      </w:r>
      <w:proofErr w:type="gramEnd"/>
      <w:r w:rsidRPr="00897960">
        <w:rPr>
          <w:sz w:val="28"/>
          <w:szCs w:val="28"/>
        </w:rPr>
        <w:t xml:space="preserve"> с чем обязанности по предложению ей указанных должностей у работодателя не имелось.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Однако</w:t>
      </w:r>
      <w:proofErr w:type="gramStart"/>
      <w:r w:rsidRPr="00897960">
        <w:rPr>
          <w:sz w:val="28"/>
          <w:szCs w:val="28"/>
        </w:rPr>
        <w:t xml:space="preserve"> В</w:t>
      </w:r>
      <w:proofErr w:type="gramEnd"/>
      <w:r w:rsidRPr="00897960">
        <w:rPr>
          <w:sz w:val="28"/>
          <w:szCs w:val="28"/>
        </w:rPr>
        <w:t xml:space="preserve">торой кассационный суд в Определении от 05 ноября 2019 г. по делу № 8Г-58/2019 не согласился с такой позицией. </w:t>
      </w:r>
      <w:r w:rsidRPr="00897960">
        <w:rPr>
          <w:sz w:val="28"/>
          <w:szCs w:val="28"/>
        </w:rPr>
        <w:br/>
        <w:t xml:space="preserve">Согласно п. 29 Постановления Пленума Верховного Суда Российской Федерации от 17 марта 2004 года </w:t>
      </w:r>
      <w:r w:rsidR="00FE4139">
        <w:rPr>
          <w:sz w:val="28"/>
          <w:szCs w:val="28"/>
        </w:rPr>
        <w:t>№</w:t>
      </w:r>
      <w:r w:rsidRPr="00897960">
        <w:rPr>
          <w:sz w:val="28"/>
          <w:szCs w:val="28"/>
        </w:rPr>
        <w:t xml:space="preserve"> 2 "О применении судами Российской Федерации Трудового кодекса Российской Федерации", в соответствии с </w:t>
      </w:r>
      <w:proofErr w:type="gramStart"/>
      <w:r w:rsidRPr="00897960">
        <w:rPr>
          <w:sz w:val="28"/>
          <w:szCs w:val="28"/>
        </w:rPr>
        <w:t>ч</w:t>
      </w:r>
      <w:proofErr w:type="gramEnd"/>
      <w:r w:rsidRPr="00897960">
        <w:rPr>
          <w:sz w:val="28"/>
          <w:szCs w:val="28"/>
        </w:rPr>
        <w:t xml:space="preserve">. 3 ст. 81 Трудового кодекса Российской Федерации увольнение работника в связи с сокращением численности или штата работников организации </w:t>
      </w:r>
      <w:proofErr w:type="gramStart"/>
      <w:r w:rsidRPr="00897960">
        <w:rPr>
          <w:sz w:val="28"/>
          <w:szCs w:val="28"/>
        </w:rPr>
        <w:t>индивидуального предпринимателя допускается, если невозможно перевести работника с его письменного согласия на другую</w:t>
      </w:r>
      <w:proofErr w:type="gramEnd"/>
      <w:r w:rsidRPr="00897960">
        <w:rPr>
          <w:sz w:val="28"/>
          <w:szCs w:val="28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Работодатель обязан предлагать работнику все отвечающие указанным требованиям вакансии, имеющиеся у него в данной местности.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образования, квалификации, опыта работы.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Судом кассационной инстанции было обращено внимание на то, что, по утверждению истицы, в период проведения мероприятий по сокращению ее должности в штатное расписание были введены 16 новых должностей, большая часть из которых ей предложена не была. Новые вакантные должности были предложены иным сотрудникам, которые в период с момента уведомления истицы о сокращении должности до ее увольнения были приняты на них, в том числе в порядке перевода.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При этом в отношении данных сотрудников процедура сокращения не проводилась. Данные обстоятельства, по мнению </w:t>
      </w:r>
      <w:proofErr w:type="gramStart"/>
      <w:r w:rsidRPr="00897960">
        <w:rPr>
          <w:sz w:val="28"/>
          <w:szCs w:val="28"/>
        </w:rPr>
        <w:t>кассационного</w:t>
      </w:r>
      <w:proofErr w:type="gramEnd"/>
      <w:r w:rsidRPr="00897960">
        <w:rPr>
          <w:sz w:val="28"/>
          <w:szCs w:val="28"/>
        </w:rPr>
        <w:t xml:space="preserve"> суда, свидетельствуют о нарушении порядка увольнения, однако суды нижестоящих инстанций не дали им правовую оценку.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lastRenderedPageBreak/>
        <w:t>Что делать, если цена, указанная на ценнике товара не совпадает с ценой на кассе?</w:t>
      </w:r>
    </w:p>
    <w:p w:rsidR="00FE4139" w:rsidRPr="00897960" w:rsidRDefault="00FE4139" w:rsidP="00FE413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Зачастую на витринах магазинов мы видим одну цену, а при оплате на кассе она совсем другая. Не все могут при тако</w:t>
      </w:r>
      <w:r w:rsidR="00FE4139">
        <w:rPr>
          <w:sz w:val="28"/>
          <w:szCs w:val="28"/>
        </w:rPr>
        <w:t>й ситуации отстоять свои права.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В данном случае потребитель вправе требовать продать товар именно по той це</w:t>
      </w:r>
      <w:r w:rsidR="00FE4139">
        <w:rPr>
          <w:sz w:val="28"/>
          <w:szCs w:val="28"/>
        </w:rPr>
        <w:t xml:space="preserve">не, которая указана в ценнике. 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Законом РФ от 7 февраля 1992 г. № 2300-I «О защите прав потребителей»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При этом цена за вес или единицу реализуемого товара </w:t>
      </w:r>
      <w:r w:rsidR="00FE4139">
        <w:rPr>
          <w:sz w:val="28"/>
          <w:szCs w:val="28"/>
        </w:rPr>
        <w:t>должна быть указана на ценнике.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Ценник является публичной офертой, т.е. официальным предложением совершить покупку, поэтому продавец обязан продать покупателю товар по цене, которая указана в оферте. Если покупка уже оплачена, то продавец обязан вернуть разницу в цене между чеком и ценником.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Если на кассе пробили товар по иной цене, чем той, что указана на ценнике, то в первую очередь необходимо обратиться к администратору магазина, сообщить ему о данной ситуации и потребовать продать товар</w:t>
      </w:r>
      <w:r w:rsidR="00FE4139">
        <w:rPr>
          <w:sz w:val="28"/>
          <w:szCs w:val="28"/>
        </w:rPr>
        <w:t xml:space="preserve"> по цене, указанной на ценнике.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Если администратор проигнорирует просьбу, необходимо попросить книгу отзывов и предложений, в которую записать дату, время инцидента, наименование товара, сумму на ценнике и по чеку, свои контактные данные. Можно сфотографировать ценник в качестве доказательства.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Если спор не разрешится, покупатель вправе обратиться с письменным заявлением в территориальный орган </w:t>
      </w:r>
      <w:proofErr w:type="spellStart"/>
      <w:r w:rsidRPr="00897960">
        <w:rPr>
          <w:sz w:val="28"/>
          <w:szCs w:val="28"/>
        </w:rPr>
        <w:t>Роспотребнадзора</w:t>
      </w:r>
      <w:proofErr w:type="spellEnd"/>
      <w:r w:rsidRPr="00897960">
        <w:rPr>
          <w:sz w:val="28"/>
          <w:szCs w:val="28"/>
        </w:rPr>
        <w:t xml:space="preserve"> либо через официальный сайт в сети Интернет.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Изменения в законодательстве о потребительском кредитовании</w:t>
      </w:r>
      <w:r w:rsidR="00FE4139">
        <w:rPr>
          <w:rStyle w:val="a7"/>
          <w:sz w:val="28"/>
          <w:szCs w:val="28"/>
        </w:rPr>
        <w:t>.</w:t>
      </w:r>
    </w:p>
    <w:p w:rsidR="00FE4139" w:rsidRPr="00897960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С 1 января 2020 года вступили в силу изменения в законодательстве о потребительском кредитовании. В соответствии с новыми требованиями банкам и </w:t>
      </w:r>
      <w:proofErr w:type="spellStart"/>
      <w:r w:rsidRPr="00897960">
        <w:rPr>
          <w:sz w:val="28"/>
          <w:szCs w:val="28"/>
        </w:rPr>
        <w:t>микрофинансовым</w:t>
      </w:r>
      <w:proofErr w:type="spellEnd"/>
      <w:r w:rsidRPr="00897960">
        <w:rPr>
          <w:sz w:val="28"/>
          <w:szCs w:val="28"/>
        </w:rPr>
        <w:t xml:space="preserve"> организациям запрещается начислять проценты по договору потребительского кредитования после того, как </w:t>
      </w:r>
      <w:proofErr w:type="gramStart"/>
      <w:r w:rsidRPr="00897960">
        <w:rPr>
          <w:sz w:val="28"/>
          <w:szCs w:val="28"/>
        </w:rPr>
        <w:t>они</w:t>
      </w:r>
      <w:proofErr w:type="gramEnd"/>
      <w:r w:rsidRPr="00897960">
        <w:rPr>
          <w:sz w:val="28"/>
          <w:szCs w:val="28"/>
        </w:rPr>
        <w:t xml:space="preserve"> достигнут </w:t>
      </w:r>
      <w:proofErr w:type="spellStart"/>
      <w:r w:rsidRPr="00897960">
        <w:rPr>
          <w:sz w:val="28"/>
          <w:szCs w:val="28"/>
        </w:rPr>
        <w:t>полуторакратной</w:t>
      </w:r>
      <w:proofErr w:type="spellEnd"/>
      <w:r w:rsidRPr="00897960">
        <w:rPr>
          <w:sz w:val="28"/>
          <w:szCs w:val="28"/>
        </w:rPr>
        <w:t xml:space="preserve"> суммы кредита.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Данный запрет касается не только процентов, начисляемых на базовую сумму кредита, но и неустойки, других договорных мер ответственности, а также платежей за услуги, которые кредитор оказывает за отдельную плату. </w:t>
      </w:r>
      <w:r w:rsidRPr="00897960">
        <w:rPr>
          <w:sz w:val="28"/>
          <w:szCs w:val="28"/>
        </w:rPr>
        <w:br/>
        <w:t>Запрет распространяется на договоры потребительского кредита или займа, срок возврата денежных средств по которым не превышает одного года.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lastRenderedPageBreak/>
        <w:t>Указанное условие должно быть отражено на первой странице договора потребительского кредита (займа) перед таблицей, содержащей индивидуальные условия договора потребительского кредита (займа).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Отсутствие указанного условия в тексте договора образует в действиях кредитора состав административного правонарушения, предусмотренного </w:t>
      </w:r>
      <w:proofErr w:type="gramStart"/>
      <w:r w:rsidRPr="00897960">
        <w:rPr>
          <w:sz w:val="28"/>
          <w:szCs w:val="28"/>
        </w:rPr>
        <w:t>ч</w:t>
      </w:r>
      <w:proofErr w:type="gramEnd"/>
      <w:r w:rsidRPr="00897960">
        <w:rPr>
          <w:sz w:val="28"/>
          <w:szCs w:val="28"/>
        </w:rPr>
        <w:t xml:space="preserve">.1 ст. 14.8 </w:t>
      </w:r>
      <w:proofErr w:type="spellStart"/>
      <w:r w:rsidRPr="00897960">
        <w:rPr>
          <w:sz w:val="28"/>
          <w:szCs w:val="28"/>
        </w:rPr>
        <w:t>КоАП</w:t>
      </w:r>
      <w:proofErr w:type="spellEnd"/>
      <w:r w:rsidRPr="00897960">
        <w:rPr>
          <w:sz w:val="28"/>
          <w:szCs w:val="28"/>
        </w:rPr>
        <w:t xml:space="preserve"> РФ - нарушение права потребителя на получение необходимой и достоверной информации о реализуемом товаре (работе, услуге).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FE4139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Ко Дню Победы подписан Указ о единовременных выплатах ветеранам</w:t>
      </w:r>
      <w:r w:rsidR="00FE4139">
        <w:rPr>
          <w:rStyle w:val="a7"/>
          <w:sz w:val="28"/>
          <w:szCs w:val="28"/>
        </w:rPr>
        <w:t>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rStyle w:val="a7"/>
          <w:sz w:val="28"/>
          <w:szCs w:val="28"/>
        </w:rPr>
        <w:t xml:space="preserve"> 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Накануне празднования 75-й годовщины Победы в Великой Отечественной Войне Президентом России 07.02.2020 № подписан Указ «О единовременной выплате некоторым категориям граждан Российской Федерации в связи с 75-й годовщиной Победы в Великой Отечественной войне 1941 - 1945 годов».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7960">
        <w:rPr>
          <w:sz w:val="28"/>
          <w:szCs w:val="28"/>
        </w:rPr>
        <w:t>Указом установлены единовременные выплаты гражданам Российской Федерации проживающим, в том числе, за пределами родины, а именно: в Латвийской, Литовской и Эстонской Республиках.</w:t>
      </w:r>
      <w:proofErr w:type="gramEnd"/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Единовременную выплату получат следующие категории граждан: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- в размере 75 000 руб. - инвалиды Великой Отечественной войны, ветераны Великой Отечественной войны (из числа лиц, указанных в подпунктах 1 - 3 п. 1 ст. 2 «Закона о ветеранах»),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897960">
        <w:rPr>
          <w:sz w:val="28"/>
          <w:szCs w:val="28"/>
        </w:rPr>
        <w:t xml:space="preserve"> В</w:t>
      </w:r>
      <w:proofErr w:type="gramEnd"/>
      <w:r w:rsidRPr="00897960">
        <w:rPr>
          <w:sz w:val="28"/>
          <w:szCs w:val="28"/>
        </w:rPr>
        <w:t>торой мировой войны, вдовы (вдовцы) военнослужащих, погибших в период войны с Финляндией, Великой Отечественной войны, войны с Японией, вдовы (вдовцы) умерших инвалидов ВОВ и участников ВОВ;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- в размере 50 000 руб. - труженики тыла, бывшие совершеннолетние узники нацистских концлагерей, тюрем и гетто. </w:t>
      </w:r>
      <w:r w:rsidRPr="00897960">
        <w:rPr>
          <w:sz w:val="28"/>
          <w:szCs w:val="28"/>
        </w:rPr>
        <w:br/>
        <w:t>Указанные выплаты планируется осуществить в апреле - мае 2020 года, при этом обращаться куда-либо для их получения необходимости не будет.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Так, те ветераны, которые получают свою пенсию через банки, получат выплаты с пенсией за апрель 2020 года; а ветераны, которые получают пенсию с доставкой на дом через почтовые отделения, будут обеспечены доставкой на дом с пенсией за апрель 2020 года.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В фельдшерских здравпунктах должны быть компьютеры с доступом в Интернет</w:t>
      </w:r>
      <w:r w:rsidR="00FE4139">
        <w:rPr>
          <w:rStyle w:val="a7"/>
          <w:sz w:val="28"/>
          <w:szCs w:val="28"/>
        </w:rPr>
        <w:t>.</w:t>
      </w:r>
    </w:p>
    <w:p w:rsidR="00FE4139" w:rsidRPr="00897960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Минздрав внес поправки, в соответствии с которыми: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- уточняется рекомендуемая структура поликлини</w:t>
      </w:r>
      <w:r w:rsidR="00FE4139">
        <w:rPr>
          <w:sz w:val="28"/>
          <w:szCs w:val="28"/>
        </w:rPr>
        <w:t>ки;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- перечисляются отделения (кабинеты) первичной специализированной медико-санитарной помощи и диагностические отделения (кабинеты), </w:t>
      </w:r>
      <w:r w:rsidRPr="00897960">
        <w:rPr>
          <w:sz w:val="28"/>
          <w:szCs w:val="28"/>
        </w:rPr>
        <w:lastRenderedPageBreak/>
        <w:t>которые рекомендуется предусматривать в структуре поликлиники в зависимости от числен</w:t>
      </w:r>
      <w:r w:rsidR="00FE4139">
        <w:rPr>
          <w:sz w:val="28"/>
          <w:szCs w:val="28"/>
        </w:rPr>
        <w:t>ности прикрепленного населения.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Также</w:t>
      </w:r>
      <w:r w:rsidR="00FE4139">
        <w:rPr>
          <w:sz w:val="28"/>
          <w:szCs w:val="28"/>
        </w:rPr>
        <w:t xml:space="preserve"> установлен стандарт оснащения: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(кабинета) УЗИ;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рентгеновского кабинета;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- кабинетов для проведения флюор</w:t>
      </w:r>
      <w:r w:rsidR="00FE4139">
        <w:rPr>
          <w:sz w:val="28"/>
          <w:szCs w:val="28"/>
        </w:rPr>
        <w:t>ографии, маммографии, МРТ и КТ;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- прививочного кабинета.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 xml:space="preserve">Рабочие места врача (фельдшера), акушера-гинеколога (акушерки) и медсестры врачебной амбулатории (фельдшерско-акушерского пункта, фельдшерского здравпункта) должны быть оснащены компьютером с выходом в Интернет. </w:t>
      </w:r>
      <w:proofErr w:type="gramStart"/>
      <w:r w:rsidRPr="00897960">
        <w:rPr>
          <w:sz w:val="28"/>
          <w:szCs w:val="28"/>
        </w:rPr>
        <w:t xml:space="preserve">При наличии должностей врача акушера-гинеколога (акушерки) также потребуются набор гинекологических инструментов и </w:t>
      </w:r>
      <w:proofErr w:type="spellStart"/>
      <w:r w:rsidRPr="00897960">
        <w:rPr>
          <w:sz w:val="28"/>
          <w:szCs w:val="28"/>
        </w:rPr>
        <w:t>кольпоскоп</w:t>
      </w:r>
      <w:proofErr w:type="spellEnd"/>
      <w:r w:rsidRPr="00897960">
        <w:rPr>
          <w:sz w:val="28"/>
          <w:szCs w:val="28"/>
        </w:rPr>
        <w:t xml:space="preserve"> (Приказ Министерства здравоохранения РФ от 3 декабря 2019 г. </w:t>
      </w:r>
      <w:r w:rsidR="00FE4139">
        <w:rPr>
          <w:sz w:val="28"/>
          <w:szCs w:val="28"/>
        </w:rPr>
        <w:t>№</w:t>
      </w:r>
      <w:r w:rsidRPr="00897960">
        <w:rPr>
          <w:sz w:val="28"/>
          <w:szCs w:val="28"/>
        </w:rPr>
        <w:t xml:space="preserve"> 984н "О внесении изменений в Положение об организации оказания первичной медико-санитарной помощи взрослому населению, утвержденное приказом Министерства здравоохранения и социального развития Российской Федерации от 15 мая 2012 г. </w:t>
      </w:r>
      <w:r w:rsidR="00FE4139">
        <w:rPr>
          <w:sz w:val="28"/>
          <w:szCs w:val="28"/>
        </w:rPr>
        <w:t>№</w:t>
      </w:r>
      <w:r w:rsidRPr="00897960">
        <w:rPr>
          <w:sz w:val="28"/>
          <w:szCs w:val="28"/>
        </w:rPr>
        <w:t xml:space="preserve"> 543н").</w:t>
      </w:r>
      <w:proofErr w:type="gramEnd"/>
    </w:p>
    <w:p w:rsidR="00FE4139" w:rsidRDefault="00FE4139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897960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О единовременной выплате учителям, переехавшим на работу в малые города и сельскую местность</w:t>
      </w:r>
      <w:r w:rsidR="00FE4139">
        <w:rPr>
          <w:rStyle w:val="a7"/>
          <w:sz w:val="28"/>
          <w:szCs w:val="28"/>
        </w:rPr>
        <w:t>.</w:t>
      </w:r>
    </w:p>
    <w:p w:rsidR="00FE4139" w:rsidRPr="00897960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Постановлением Правительства Российской Федерации от 09 ноября 2019 года № 1430 «О внесении изменений в государственную программу Российской Федерации «Развитие образования», вступающим в силу с 01.01.2020 года, предусмотрена выплата учителям, переехавшим на работу в малые города и сельскую местность, единовременной компенсации.</w:t>
      </w:r>
      <w:r w:rsidRPr="00897960">
        <w:rPr>
          <w:sz w:val="28"/>
          <w:szCs w:val="28"/>
        </w:rPr>
        <w:br/>
        <w:t>Выплаты предназначены для учителей, 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человек, в рамках госпрограммы «Земский учитель».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7960">
        <w:rPr>
          <w:sz w:val="28"/>
          <w:szCs w:val="28"/>
        </w:rPr>
        <w:t>Единовременная компенсационная выплата предоставляется учителю органом, уполномоченным высшим исполнительным органом государственной власти субъекта Российской Федерации (далее - уполномоченный орган), на основании заключенного с учителем договора о предоставлении единовременной компенсационной выплаты, а также трудового договора, заключенного учителем с общеобразовательной организацией, подведомственной органу исполнительной власти субъекта Российской Федерации или органу местного самоуправления (далее - трудовой договор), предусматривающего, в том числе, распространение трудовых прав, социальных</w:t>
      </w:r>
      <w:proofErr w:type="gramEnd"/>
      <w:r w:rsidRPr="00897960">
        <w:rPr>
          <w:sz w:val="28"/>
          <w:szCs w:val="28"/>
        </w:rPr>
        <w:t xml:space="preserve">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Учитель, заключивший трудовой договор, при</w:t>
      </w:r>
      <w:r w:rsidR="00FE4139">
        <w:rPr>
          <w:sz w:val="28"/>
          <w:szCs w:val="28"/>
        </w:rPr>
        <w:t>нимает следующие обязательства:</w:t>
      </w: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lastRenderedPageBreak/>
        <w:t>- исполнять трудовые обязанности в течение 5 лет со дня заключения т</w:t>
      </w:r>
      <w:r w:rsidR="00FE4139">
        <w:rPr>
          <w:sz w:val="28"/>
          <w:szCs w:val="28"/>
        </w:rPr>
        <w:t>рудового договора по должности;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- в случае неисполнения данного обязательства возвратить выплату в бюджет региона в полном объеме при расторжении трудового договора, за исключением случаев прекращения трудового договора по основаниям, предусмотренным пунктом 8 части первой статьи 77 и пунктами 5 - 7 части первой статьи 83 Трудового кодекса Российской Федерации.</w:t>
      </w:r>
    </w:p>
    <w:p w:rsidR="00FE4139" w:rsidRDefault="00FE4139" w:rsidP="00897960">
      <w:pPr>
        <w:pStyle w:val="a3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</w:p>
    <w:p w:rsidR="00897960" w:rsidRDefault="00897960" w:rsidP="00FE4139">
      <w:pPr>
        <w:pStyle w:val="a3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897960">
        <w:rPr>
          <w:rStyle w:val="a7"/>
          <w:sz w:val="28"/>
          <w:szCs w:val="28"/>
        </w:rPr>
        <w:t>За фиктивную регистрацию предусмотрена уголовная ответственность</w:t>
      </w:r>
      <w:r w:rsidR="00FE4139">
        <w:rPr>
          <w:rStyle w:val="a7"/>
          <w:sz w:val="28"/>
          <w:szCs w:val="28"/>
        </w:rPr>
        <w:t>.</w:t>
      </w:r>
    </w:p>
    <w:p w:rsidR="00FE4139" w:rsidRPr="00897960" w:rsidRDefault="00FE4139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4139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За фиктивную регистрацию гражданина Российской Федерации по месту пребывания или по месту жительства, а равно те же действия в интересах иностранного гражданина или лица без гражданства установ</w:t>
      </w:r>
      <w:r w:rsidR="00FE4139">
        <w:rPr>
          <w:sz w:val="28"/>
          <w:szCs w:val="28"/>
        </w:rPr>
        <w:t>лена уголовная ответственность.</w:t>
      </w:r>
    </w:p>
    <w:p w:rsidR="00897960" w:rsidRPr="00897960" w:rsidRDefault="00897960" w:rsidP="008979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Фиктивной признается регистрация или постановка на учет на основании заведомо недостоверных сведений или документов, а также без намерения лица пребывать или проживать в этом помещении, или без намерения собственника жилого помещения предоставить это помещение для проживания.</w:t>
      </w:r>
    </w:p>
    <w:p w:rsidR="00897960" w:rsidRPr="00F86107" w:rsidRDefault="00897960" w:rsidP="00FE41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960">
        <w:rPr>
          <w:sz w:val="28"/>
          <w:szCs w:val="28"/>
        </w:rPr>
        <w:t>Максимальное наказание за данное преступление - 3 года лишения свободы. При этом возможно лишение права занимать определенные должности или заниматься определенной деятельностью на срок до 3-х лет.</w:t>
      </w:r>
      <w:r w:rsidRPr="00897960">
        <w:rPr>
          <w:sz w:val="28"/>
          <w:szCs w:val="28"/>
        </w:rPr>
        <w:br/>
        <w:t>Уголовной ответственности можно избежать, если лицо, совершившее преступление, способствовало раскрытию преступления и в его действиях не содержится иного состава преступления.</w:t>
      </w:r>
    </w:p>
    <w:p w:rsidR="00F86107" w:rsidRPr="003D1037" w:rsidRDefault="00F86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86107" w:rsidRPr="003D1037" w:rsidSect="002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768"/>
    <w:multiLevelType w:val="hybridMultilevel"/>
    <w:tmpl w:val="27C0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0AE1"/>
    <w:multiLevelType w:val="multilevel"/>
    <w:tmpl w:val="0462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7388"/>
    <w:multiLevelType w:val="multilevel"/>
    <w:tmpl w:val="D3F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3276E"/>
    <w:multiLevelType w:val="multilevel"/>
    <w:tmpl w:val="9E1C1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48D65B6"/>
    <w:multiLevelType w:val="hybridMultilevel"/>
    <w:tmpl w:val="8E5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34549"/>
    <w:multiLevelType w:val="hybridMultilevel"/>
    <w:tmpl w:val="675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7E20"/>
    <w:multiLevelType w:val="multilevel"/>
    <w:tmpl w:val="CC0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3DE7"/>
    <w:rsid w:val="00056C2B"/>
    <w:rsid w:val="00191F48"/>
    <w:rsid w:val="002730EA"/>
    <w:rsid w:val="002C1D41"/>
    <w:rsid w:val="003B044F"/>
    <w:rsid w:val="003D1037"/>
    <w:rsid w:val="00401110"/>
    <w:rsid w:val="00471BDA"/>
    <w:rsid w:val="005501A2"/>
    <w:rsid w:val="00594FEA"/>
    <w:rsid w:val="005F725A"/>
    <w:rsid w:val="00626FF2"/>
    <w:rsid w:val="006F38F0"/>
    <w:rsid w:val="00707920"/>
    <w:rsid w:val="00711D4F"/>
    <w:rsid w:val="007D080F"/>
    <w:rsid w:val="00884406"/>
    <w:rsid w:val="00897960"/>
    <w:rsid w:val="00930313"/>
    <w:rsid w:val="009C44E6"/>
    <w:rsid w:val="00A00F0A"/>
    <w:rsid w:val="00B11220"/>
    <w:rsid w:val="00BD7423"/>
    <w:rsid w:val="00C22E67"/>
    <w:rsid w:val="00D41086"/>
    <w:rsid w:val="00D43DE7"/>
    <w:rsid w:val="00EB296A"/>
    <w:rsid w:val="00F32BE7"/>
    <w:rsid w:val="00F86107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1"/>
  </w:style>
  <w:style w:type="paragraph" w:styleId="1">
    <w:name w:val="heading 1"/>
    <w:basedOn w:val="a"/>
    <w:link w:val="10"/>
    <w:uiPriority w:val="9"/>
    <w:qFormat/>
    <w:rsid w:val="005F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DE7"/>
    <w:rPr>
      <w:color w:val="0000FF"/>
      <w:u w:val="single"/>
    </w:rPr>
  </w:style>
  <w:style w:type="character" w:styleId="a5">
    <w:name w:val="Emphasis"/>
    <w:basedOn w:val="a0"/>
    <w:uiPriority w:val="20"/>
    <w:qFormat/>
    <w:rsid w:val="00D43DE7"/>
    <w:rPr>
      <w:i/>
      <w:iCs/>
    </w:rPr>
  </w:style>
  <w:style w:type="paragraph" w:styleId="a6">
    <w:name w:val="List Paragraph"/>
    <w:basedOn w:val="a"/>
    <w:uiPriority w:val="34"/>
    <w:qFormat/>
    <w:rsid w:val="00D43DE7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F7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F86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</cp:lastModifiedBy>
  <cp:revision>2</cp:revision>
  <cp:lastPrinted>2020-03-02T14:53:00Z</cp:lastPrinted>
  <dcterms:created xsi:type="dcterms:W3CDTF">2020-03-02T14:58:00Z</dcterms:created>
  <dcterms:modified xsi:type="dcterms:W3CDTF">2020-03-02T14:58:00Z</dcterms:modified>
</cp:coreProperties>
</file>