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88" w:rsidRPr="00CF3588" w:rsidRDefault="00D83628" w:rsidP="00CF3588">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Пенсионный фонд информирует</w:t>
      </w:r>
    </w:p>
    <w:p w:rsidR="00CF3588" w:rsidRDefault="00CF3588" w:rsidP="00D22E88">
      <w:pPr>
        <w:spacing w:after="0" w:line="240" w:lineRule="auto"/>
        <w:jc w:val="center"/>
        <w:rPr>
          <w:rFonts w:ascii="Times New Roman" w:hAnsi="Times New Roman" w:cs="Times New Roman"/>
          <w:b/>
          <w:sz w:val="28"/>
          <w:szCs w:val="28"/>
        </w:rPr>
      </w:pPr>
    </w:p>
    <w:p w:rsidR="005D6CF0" w:rsidRPr="005D6CF0" w:rsidRDefault="005D6CF0" w:rsidP="005D6CF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5D6CF0">
        <w:rPr>
          <w:rFonts w:ascii="Times New Roman" w:eastAsia="Times New Roman" w:hAnsi="Times New Roman" w:cs="Times New Roman"/>
          <w:b/>
          <w:bCs/>
          <w:kern w:val="36"/>
          <w:sz w:val="32"/>
          <w:szCs w:val="32"/>
          <w:lang w:eastAsia="ru-RU"/>
        </w:rPr>
        <w:t>Интервью заместителя управляющего Отделением ПФР по Республике Адыгея Татьяны Киселевой редактору телепрограммы "Уроки финансовой грамотности"</w:t>
      </w:r>
    </w:p>
    <w:p w:rsidR="00B813A7" w:rsidRPr="005C320C" w:rsidRDefault="00B813A7" w:rsidP="00B813A7">
      <w:pPr>
        <w:jc w:val="both"/>
        <w:rPr>
          <w:rFonts w:ascii="Times New Roman" w:hAnsi="Times New Roman" w:cs="Times New Roman"/>
          <w:i/>
          <w:sz w:val="28"/>
          <w:szCs w:val="28"/>
          <w:lang w:eastAsia="ru-RU"/>
        </w:rPr>
      </w:pPr>
      <w:r w:rsidRPr="005C320C">
        <w:rPr>
          <w:rFonts w:ascii="Times New Roman" w:hAnsi="Times New Roman" w:cs="Times New Roman"/>
          <w:i/>
          <w:sz w:val="28"/>
          <w:szCs w:val="28"/>
          <w:lang w:eastAsia="ru-RU"/>
        </w:rPr>
        <w:t>10 декабря заместитель управляющего Отделением ПФР по Республике Адыгея Татьяна Киселева приняла участие в съемке телевизионной программы «Уроки финансовой грамотности», которая выходит в эфир ФГУП ВГТРК "ГТРК "Адыгея" при поддержке Комитета РА по делам национальностей, связям с соотечественниками и средствам массовой информации.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Заместитель управляющего отделением Татьяна Киселева ответила на вопросы редактора программы, начальника коммерческого отдела телерадиокомпании Елены </w:t>
      </w:r>
      <w:proofErr w:type="spellStart"/>
      <w:r w:rsidRPr="00B813A7">
        <w:rPr>
          <w:rFonts w:ascii="Times New Roman" w:hAnsi="Times New Roman" w:cs="Times New Roman"/>
          <w:sz w:val="28"/>
          <w:szCs w:val="28"/>
          <w:lang w:eastAsia="ru-RU"/>
        </w:rPr>
        <w:t>Джаримовой</w:t>
      </w:r>
      <w:proofErr w:type="spellEnd"/>
      <w:r w:rsidRPr="00B813A7">
        <w:rPr>
          <w:rFonts w:ascii="Times New Roman" w:hAnsi="Times New Roman" w:cs="Times New Roman"/>
          <w:sz w:val="28"/>
          <w:szCs w:val="28"/>
          <w:lang w:eastAsia="ru-RU"/>
        </w:rPr>
        <w:t xml:space="preserve"> о порядке и способах управления средствами пенсионных накоплений.</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Татьяна Ивановна, у каких граждан формируются средства пенсионных накоплений?</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Средства пенсионных накоплений формируются: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 у граждан 1967 года рождения и моложе за счет страховых взносов, уплаченных работодателями в ПФР с 2002 по 2013 годы. Так, из перечисляемых работодателями в указанный период страховых взносов по тарифу 22%, 6% шли на формирование накопительной пенсии. В 2014-2021 годах все страховые взносы работодателей (22%) идут на формирование только страховой пенсии их работников, новыми пенсионными накоплениями страховые взносы не пополняются. </w:t>
      </w:r>
      <w:proofErr w:type="gramStart"/>
      <w:r w:rsidRPr="00B813A7">
        <w:rPr>
          <w:rFonts w:ascii="Times New Roman" w:hAnsi="Times New Roman" w:cs="Times New Roman"/>
          <w:sz w:val="28"/>
          <w:szCs w:val="28"/>
          <w:lang w:eastAsia="ru-RU"/>
        </w:rPr>
        <w:t>При этом до конца 2015 года гражданам 1967 года рождения и моложе было предоставлено право выбора: направлять всю сумму страховых взносов работодателя на формирование страховой пенсии или распределить их между страховой и накопительной пенсиями.</w:t>
      </w:r>
      <w:proofErr w:type="gramEnd"/>
      <w:r w:rsidRPr="00B813A7">
        <w:rPr>
          <w:rFonts w:ascii="Times New Roman" w:hAnsi="Times New Roman" w:cs="Times New Roman"/>
          <w:sz w:val="28"/>
          <w:szCs w:val="28"/>
          <w:lang w:eastAsia="ru-RU"/>
        </w:rPr>
        <w:t xml:space="preserve"> Такая возможность сегодня все еще есть у тех, кто впервые вступил в трудовые отношения и отчисления за них впервые начали поступать после 1 января 2014 года. В таком случае выбор варианта пенсионного обеспечения должен быть осуществлен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у мужчин 1953-1966 годов рождения и женщин 1957- 1966 годов рождения, чьи средства пенсионных накоплений формировались в 2002-2004 годах. С 2005 года эти отчисления были прекращены в связи с изменениями в законодательстве;</w:t>
      </w:r>
    </w:p>
    <w:p w:rsidR="00B813A7" w:rsidRPr="00B813A7" w:rsidRDefault="00B813A7" w:rsidP="00B813A7">
      <w:pPr>
        <w:jc w:val="both"/>
        <w:rPr>
          <w:rFonts w:ascii="Times New Roman" w:hAnsi="Times New Roman" w:cs="Times New Roman"/>
          <w:sz w:val="28"/>
          <w:szCs w:val="28"/>
          <w:lang w:eastAsia="ru-RU"/>
        </w:rPr>
      </w:pPr>
      <w:proofErr w:type="gramStart"/>
      <w:r w:rsidRPr="00B813A7">
        <w:rPr>
          <w:rFonts w:ascii="Times New Roman" w:hAnsi="Times New Roman" w:cs="Times New Roman"/>
          <w:sz w:val="28"/>
          <w:szCs w:val="28"/>
          <w:lang w:eastAsia="ru-RU"/>
        </w:rPr>
        <w:t xml:space="preserve">- у участников Программы государственного </w:t>
      </w:r>
      <w:proofErr w:type="spellStart"/>
      <w:r w:rsidRPr="00B813A7">
        <w:rPr>
          <w:rFonts w:ascii="Times New Roman" w:hAnsi="Times New Roman" w:cs="Times New Roman"/>
          <w:sz w:val="28"/>
          <w:szCs w:val="28"/>
          <w:lang w:eastAsia="ru-RU"/>
        </w:rPr>
        <w:t>софинансирования</w:t>
      </w:r>
      <w:proofErr w:type="spellEnd"/>
      <w:r w:rsidRPr="00B813A7">
        <w:rPr>
          <w:rFonts w:ascii="Times New Roman" w:hAnsi="Times New Roman" w:cs="Times New Roman"/>
          <w:sz w:val="28"/>
          <w:szCs w:val="28"/>
          <w:lang w:eastAsia="ru-RU"/>
        </w:rPr>
        <w:t xml:space="preserve"> пенсии (в Республике Адыгея это – 12 571 человек); у тех, кто направил средства </w:t>
      </w:r>
      <w:r w:rsidRPr="00B813A7">
        <w:rPr>
          <w:rFonts w:ascii="Times New Roman" w:hAnsi="Times New Roman" w:cs="Times New Roman"/>
          <w:sz w:val="28"/>
          <w:szCs w:val="28"/>
          <w:lang w:eastAsia="ru-RU"/>
        </w:rPr>
        <w:lastRenderedPageBreak/>
        <w:t>материнского (семейного) капитала на формирование накопительной пенсии (в РА 5 матерей воспользовались таким правом на сумму 1,2 млн. рублей); у граждан, добровольно вступивших в правоотношения по обязательному пенсионному страхованию для уплаты дополнительных страховых взносов на накопительную пенсию.</w:t>
      </w:r>
      <w:proofErr w:type="gramEnd"/>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Независимо от того, что взносы работодателя в 2014- 2021 годах поступают только на страховую пенсию, у указанных категорий граждан средства на пенсионные накопления поступают и в 2014- 2021 годах.</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Граждане, у которых формируются средства пенсионных накоплений в системе обязательного пенсионного страхования, вправе передавать эти средства организации–страховщику для инвестирования на финансовом рынке. Выбранный страховщик несет обязательства перед гражданином по инвестированию средств пенсионных накоплений, осуществление выплат за счет средств пенсионных накоплений в порядке, установленном законодательством Российской Федерации.</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Кто может являться страховщиком?</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Страховщиком может быть Пенсионный фонд России (ПФР) или негосударственный пенсионный фонд (НПФ), входящий в систему гарантирования прав застрахованных лиц в системе обязательного пенсионного страхования.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ПФР инвестирует пенсионные накопления через государственную управляющую компанию «Внешэкономбанк» и через частные управляющие компании (УК). Сегодня в перечень управляющих компаний, с которыми ПФР заключены договоры доверительного управления средствами пенсионных накоплений, входят 18 УК.</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Гражданин, формирующий пенсионные накопления в ПФР, может выбрать управляющую компанию для инвестирования пенсионных накоплений.</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Выбор страховщика – это личное решение гражданина. Требовать перевода средств пенсионных накоплений в тот или иной негосударственный пенсионный фонд не имеют права ни работодатель, ни агентства по трудоустройству, ни коммерческие банки при кредитовании.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К выбору НПФ необходимо подходить внимательно, принимать во внимание опыт, репутацию НПФ и показатели доходности от инвестирования средств пенсионных накоплений. Полная информация об НПФ, входящих в систему гарантирования прав застрахованных лиц (Агентство по страхованию вкладов), а сегодня их – 33, размещена на сайтах Банка России, ПФР и сайтах самих НПФ.</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В чем разница между УК и НПФ?</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lastRenderedPageBreak/>
        <w:t>- Если пенсионные накопления находятся в доверительном управлении государственной или частной 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Может ли гражданин сменить страховщика или УК?</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Да, гражданин, у которого формируются средства пенсионных накоплений, может сменить страховщика. Смена страховщика, занимающегося инвестированием средств пенсионных накоплений – это переход из одного НПФ в другой, переход из ПФР в НПФ, переход из НПФ в ПФР.</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При переводе средств пенсионных накоплений из государственной УК в </w:t>
      </w:r>
      <w:proofErr w:type="gramStart"/>
      <w:r w:rsidRPr="00B813A7">
        <w:rPr>
          <w:rFonts w:ascii="Times New Roman" w:hAnsi="Times New Roman" w:cs="Times New Roman"/>
          <w:sz w:val="28"/>
          <w:szCs w:val="28"/>
          <w:lang w:eastAsia="ru-RU"/>
        </w:rPr>
        <w:t>частную</w:t>
      </w:r>
      <w:proofErr w:type="gramEnd"/>
      <w:r w:rsidRPr="00B813A7">
        <w:rPr>
          <w:rFonts w:ascii="Times New Roman" w:hAnsi="Times New Roman" w:cs="Times New Roman"/>
          <w:sz w:val="28"/>
          <w:szCs w:val="28"/>
          <w:lang w:eastAsia="ru-RU"/>
        </w:rPr>
        <w:t xml:space="preserve">, а также при выборе другой УК смены страховщика не происходит – им остается ПФР. Заявление о выборе УК может быть подано до 31 декабря текущего года. Заявление можно подать непосредственно в любой территориальный орган ПФР (далее - ТО ПФР), направить его через МФЦ, а также в электронной форме, в частности, через Единый портал </w:t>
      </w:r>
      <w:proofErr w:type="spellStart"/>
      <w:r w:rsidRPr="00B813A7">
        <w:rPr>
          <w:rFonts w:ascii="Times New Roman" w:hAnsi="Times New Roman" w:cs="Times New Roman"/>
          <w:sz w:val="28"/>
          <w:szCs w:val="28"/>
          <w:lang w:eastAsia="ru-RU"/>
        </w:rPr>
        <w:t>госуслуг</w:t>
      </w:r>
      <w:proofErr w:type="spellEnd"/>
      <w:r w:rsidRPr="00B813A7">
        <w:rPr>
          <w:rFonts w:ascii="Times New Roman" w:hAnsi="Times New Roman" w:cs="Times New Roman"/>
          <w:sz w:val="28"/>
          <w:szCs w:val="28"/>
          <w:lang w:eastAsia="ru-RU"/>
        </w:rPr>
        <w:t>. Установление личности и проверка подлинности подписи заявителя при подаче электронного заявления осуществляются при наличии электронной цифровой подписи, а при обращении через МФЦ - его сотрудником. В случае личного обращения в ТО ПФР и МФЦ потребуются паспорт или иной документ, удостоверяющий личность.</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Как часто можно пользоваться правом на смену страховщика или УК?</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До момента обращения за установлением выплат за счет средств пенсионных накоплений граждане имеют право менять страховщика по обязательному пенсионному страхованию. Пользоваться правом на смену страховщика можно ежегодно (досрочный переход). Но наиболее выгодным вариантом является смена страховщика через 5 лет, так как при досрочном переходе есть риск полной или частичной потери инвестиционного дохода, сформированного у предыдущего страховщика.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Так, если гражданин в 2019 году подаст заявление о досрочной смене страховщика, то средства накоплений переведут выбранному страховщику в 2020 году. При этом полностью или частично может быть утерян инвестиционный доход, сформированный у предыдущего страховщика.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Срочный же перевод средств пенсионных накоплений производится в году, следующем за годом, в котором истекает пятилетний срок с года подачи такого заявления. Так, если заявление подано в 2019 году, то пенсионные накопления новому страховщику будут переведены в первом квартале 2025 года. В этом </w:t>
      </w:r>
      <w:r w:rsidRPr="00B813A7">
        <w:rPr>
          <w:rFonts w:ascii="Times New Roman" w:hAnsi="Times New Roman" w:cs="Times New Roman"/>
          <w:sz w:val="28"/>
          <w:szCs w:val="28"/>
          <w:lang w:eastAsia="ru-RU"/>
        </w:rPr>
        <w:lastRenderedPageBreak/>
        <w:t>случае гарантируется вся сумма пенсионных накоплений, независимо от убытков на финансовом рынке, и сохраняется весь инвестиционный доход.</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В этой связи Отделение ПФР по Республике Адыгея рекомендует гражданам менять страховщика не чаще 1 раза в 5 лет, чтобы избежать потери инвестиционного дохода и самих средств пенсионных накоплений.</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Что касается смены УК: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Как гражданину реализовать свое право на смену страховщика?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Подать заявление о переводе пенсионных накоплений из ПФР в НПФ и обратно, а также из одного НПФ в другой можно только лично или через своего законного представителя с нотариальной доверенностью в клиентских службах ПФР, а также онлайн через Единый портал государственных и муниципальных услуг (ЕПГУ) с использованием усиленной квалифицированной электронной подписи.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С 1 января 2019 года изменился порядок подачи заявлений застрахованных лиц о смене страховщика. Если раньше заявления принимались до 31 декабря текущего года, то теперь его необходимо подать в ПФР не позднее 1 декабря.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Обязательным условием для перехода из ПФР в НПФ или из одного НПФ в другой НПФ кроме заявления является наличие договора об обязательном пенсионном страховании с новым НПФ. Договор с НПФ должен быть оформлен до подачи заявления. В заявлении необходимо, в частности, указать реквизиты нового договора об обязательном пенсионном страховании, а также контактную информацию для связи с гражданином.</w:t>
      </w:r>
    </w:p>
    <w:p w:rsidR="00B813A7" w:rsidRPr="00B813A7" w:rsidRDefault="00B813A7" w:rsidP="00B813A7">
      <w:pPr>
        <w:jc w:val="both"/>
        <w:rPr>
          <w:rFonts w:ascii="Times New Roman" w:hAnsi="Times New Roman" w:cs="Times New Roman"/>
          <w:sz w:val="28"/>
          <w:szCs w:val="28"/>
          <w:lang w:eastAsia="ru-RU"/>
        </w:rPr>
      </w:pPr>
      <w:proofErr w:type="gramStart"/>
      <w:r w:rsidRPr="00B813A7">
        <w:rPr>
          <w:rFonts w:ascii="Times New Roman" w:hAnsi="Times New Roman" w:cs="Times New Roman"/>
          <w:sz w:val="28"/>
          <w:szCs w:val="28"/>
          <w:lang w:eastAsia="ru-RU"/>
        </w:rPr>
        <w:t xml:space="preserve">До подачи заявления о досрочном переходе из одного НПФ в другой гражданина уведомят об условиях такого перехода (в том числе об отраженной в специальной части индивидуального лицевого счета сумме дохода от инвестирования средств пенсионных накоплений, не подлежащего передаче, или сумме убытка, не подлежащего гарантийному восполнению) на Едином портале </w:t>
      </w:r>
      <w:proofErr w:type="spellStart"/>
      <w:r w:rsidRPr="00B813A7">
        <w:rPr>
          <w:rFonts w:ascii="Times New Roman" w:hAnsi="Times New Roman" w:cs="Times New Roman"/>
          <w:sz w:val="28"/>
          <w:szCs w:val="28"/>
          <w:lang w:eastAsia="ru-RU"/>
        </w:rPr>
        <w:t>госуслуг</w:t>
      </w:r>
      <w:proofErr w:type="spellEnd"/>
      <w:r w:rsidRPr="00B813A7">
        <w:rPr>
          <w:rFonts w:ascii="Times New Roman" w:hAnsi="Times New Roman" w:cs="Times New Roman"/>
          <w:sz w:val="28"/>
          <w:szCs w:val="28"/>
          <w:lang w:eastAsia="ru-RU"/>
        </w:rPr>
        <w:t xml:space="preserve"> или при подаче заявления лично или через представителя - в территориальном органе</w:t>
      </w:r>
      <w:proofErr w:type="gramEnd"/>
      <w:r w:rsidRPr="00B813A7">
        <w:rPr>
          <w:rFonts w:ascii="Times New Roman" w:hAnsi="Times New Roman" w:cs="Times New Roman"/>
          <w:sz w:val="28"/>
          <w:szCs w:val="28"/>
          <w:lang w:eastAsia="ru-RU"/>
        </w:rPr>
        <w:t xml:space="preserve"> ПФР. При этом заявление о досрочном переходе в форме электронного документа будет доступно гражданину для подачи на ЕПГУ после его ознакомления с таким уведомлением.</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Если после подачи заявления о переходе в ПФР гражданин изменил свой выбор, он может подать в любой территориальный орган ПФР уведомление о замене выбранного страховщика. Уведомление может быть подано, в том числе, в форме электронного документа через Единый портал </w:t>
      </w:r>
      <w:proofErr w:type="spellStart"/>
      <w:r w:rsidRPr="00B813A7">
        <w:rPr>
          <w:rFonts w:ascii="Times New Roman" w:hAnsi="Times New Roman" w:cs="Times New Roman"/>
          <w:sz w:val="28"/>
          <w:szCs w:val="28"/>
          <w:lang w:eastAsia="ru-RU"/>
        </w:rPr>
        <w:t>госуслуг</w:t>
      </w:r>
      <w:proofErr w:type="spellEnd"/>
      <w:r w:rsidRPr="00B813A7">
        <w:rPr>
          <w:rFonts w:ascii="Times New Roman" w:hAnsi="Times New Roman" w:cs="Times New Roman"/>
          <w:sz w:val="28"/>
          <w:szCs w:val="28"/>
          <w:lang w:eastAsia="ru-RU"/>
        </w:rPr>
        <w:t>. Срок подачи уведомления - не позднее 31 декабря года, предшествующего году, в котором ПФР должно быть удовлетворено заявление о смене страховщика.</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lastRenderedPageBreak/>
        <w:t>- Какие сроки и порядок рассмотрения заявления о смене страховщика?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ПФР должен рассмотреть заявление о переходе из одного НПФ в другой до 1 марта года, следующего за годом, в котором истекает пятилетний срок, исчисляющийся начиная с года подачи гражданином заявления о переходе из фонда в фонд. Заявление о досрочном переходе рассматривается в срок до 1 марта года, следующего за годом подачи такого заявления.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Не позднее 31 марта года, в котором ПФР рассмотрит заявление о смене страховщика, он уведомит гражданина о внесении изменений в единый реестр застрахованных лиц или об отказе во внесении таких изменений с указанием причин отказа. </w:t>
      </w:r>
      <w:proofErr w:type="gramStart"/>
      <w:r w:rsidRPr="00B813A7">
        <w:rPr>
          <w:rFonts w:ascii="Times New Roman" w:hAnsi="Times New Roman" w:cs="Times New Roman"/>
          <w:sz w:val="28"/>
          <w:szCs w:val="28"/>
          <w:lang w:eastAsia="ru-RU"/>
        </w:rPr>
        <w:t>Новый</w:t>
      </w:r>
      <w:proofErr w:type="gramEnd"/>
      <w:r w:rsidRPr="00B813A7">
        <w:rPr>
          <w:rFonts w:ascii="Times New Roman" w:hAnsi="Times New Roman" w:cs="Times New Roman"/>
          <w:sz w:val="28"/>
          <w:szCs w:val="28"/>
          <w:lang w:eastAsia="ru-RU"/>
        </w:rPr>
        <w:t xml:space="preserve"> и прежний НПФ также будут уведомлены.</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После внесения ПФР изменений в единый реестр застрахованных лиц прежний договор об обязательном пенсионном страховании прекращается.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При этом </w:t>
      </w:r>
      <w:proofErr w:type="gramStart"/>
      <w:r w:rsidRPr="00B813A7">
        <w:rPr>
          <w:rFonts w:ascii="Times New Roman" w:hAnsi="Times New Roman" w:cs="Times New Roman"/>
          <w:sz w:val="28"/>
          <w:szCs w:val="28"/>
          <w:lang w:eastAsia="ru-RU"/>
        </w:rPr>
        <w:t>предыдущий</w:t>
      </w:r>
      <w:proofErr w:type="gramEnd"/>
      <w:r w:rsidRPr="00B813A7">
        <w:rPr>
          <w:rFonts w:ascii="Times New Roman" w:hAnsi="Times New Roman" w:cs="Times New Roman"/>
          <w:sz w:val="28"/>
          <w:szCs w:val="28"/>
          <w:lang w:eastAsia="ru-RU"/>
        </w:rPr>
        <w:t xml:space="preserve"> НПФ должен:</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в течение месяца с того дня, когда получено уведомление из ПФР, известить гражданина о прекращении договора обязательного пенсионного страхования;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 не позднее 31 марта года, следующего за годом, в котором было подано заявление, перевести пенсионные накопления во вновь </w:t>
      </w:r>
      <w:proofErr w:type="gramStart"/>
      <w:r w:rsidRPr="00B813A7">
        <w:rPr>
          <w:rFonts w:ascii="Times New Roman" w:hAnsi="Times New Roman" w:cs="Times New Roman"/>
          <w:sz w:val="28"/>
          <w:szCs w:val="28"/>
          <w:lang w:eastAsia="ru-RU"/>
        </w:rPr>
        <w:t>выбранный</w:t>
      </w:r>
      <w:proofErr w:type="gramEnd"/>
      <w:r w:rsidRPr="00B813A7">
        <w:rPr>
          <w:rFonts w:ascii="Times New Roman" w:hAnsi="Times New Roman" w:cs="Times New Roman"/>
          <w:sz w:val="28"/>
          <w:szCs w:val="28"/>
          <w:lang w:eastAsia="ru-RU"/>
        </w:rPr>
        <w:t xml:space="preserve"> гражданином НПФ;</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выслать по почте (вручить) гражданину выписку о состоянии его пенсионного счета и о том, какая сумма пенсионных накоплений переведена в другой НПФ.</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Вновь выбранный гражданином НПФ в течение месяца с того дня, когда ему были переведены пенсионные накопления, должен уведомить гражданина о размере суммы зачисленных пенсионных накоплений.</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Что гражданину делать, если у НПФ аннулирована лицензия?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 Если у НПФ, </w:t>
      </w:r>
      <w:proofErr w:type="gramStart"/>
      <w:r w:rsidRPr="00B813A7">
        <w:rPr>
          <w:rFonts w:ascii="Times New Roman" w:hAnsi="Times New Roman" w:cs="Times New Roman"/>
          <w:sz w:val="28"/>
          <w:szCs w:val="28"/>
          <w:lang w:eastAsia="ru-RU"/>
        </w:rPr>
        <w:t>с</w:t>
      </w:r>
      <w:proofErr w:type="gramEnd"/>
      <w:r w:rsidRPr="00B813A7">
        <w:rPr>
          <w:rFonts w:ascii="Times New Roman" w:hAnsi="Times New Roman" w:cs="Times New Roman"/>
          <w:sz w:val="28"/>
          <w:szCs w:val="28"/>
          <w:lang w:eastAsia="ru-RU"/>
        </w:rPr>
        <w:t xml:space="preserve"> </w:t>
      </w:r>
      <w:proofErr w:type="gramStart"/>
      <w:r w:rsidRPr="00B813A7">
        <w:rPr>
          <w:rFonts w:ascii="Times New Roman" w:hAnsi="Times New Roman" w:cs="Times New Roman"/>
          <w:sz w:val="28"/>
          <w:szCs w:val="28"/>
          <w:lang w:eastAsia="ru-RU"/>
        </w:rPr>
        <w:t>которым</w:t>
      </w:r>
      <w:proofErr w:type="gramEnd"/>
      <w:r w:rsidRPr="00B813A7">
        <w:rPr>
          <w:rFonts w:ascii="Times New Roman" w:hAnsi="Times New Roman" w:cs="Times New Roman"/>
          <w:sz w:val="28"/>
          <w:szCs w:val="28"/>
          <w:lang w:eastAsia="ru-RU"/>
        </w:rPr>
        <w:t xml:space="preserve"> у гражданина был заключен договор об обязательном пенсионном страховании, аннулировали лицензию, гражданину не нужно предпринимать специальные меры, чтобы вернуть средства пенсионных накоплений. Все необходимые действия за гражданина сделает Банк России. Начиная </w:t>
      </w:r>
      <w:proofErr w:type="gramStart"/>
      <w:r w:rsidRPr="00B813A7">
        <w:rPr>
          <w:rFonts w:ascii="Times New Roman" w:hAnsi="Times New Roman" w:cs="Times New Roman"/>
          <w:sz w:val="28"/>
          <w:szCs w:val="28"/>
          <w:lang w:eastAsia="ru-RU"/>
        </w:rPr>
        <w:t>с даты аннулирования</w:t>
      </w:r>
      <w:proofErr w:type="gramEnd"/>
      <w:r w:rsidRPr="00B813A7">
        <w:rPr>
          <w:rFonts w:ascii="Times New Roman" w:hAnsi="Times New Roman" w:cs="Times New Roman"/>
          <w:sz w:val="28"/>
          <w:szCs w:val="28"/>
          <w:lang w:eastAsia="ru-RU"/>
        </w:rPr>
        <w:t xml:space="preserve"> лицензии у НПФ новым страховщиком гражданина становится ПФР. НПФ обязан направить гражданину уведомление, сообщая о направлении средств его пенсионных накоплений в ПФР.</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При этом сумма средств пенсионных накоплений, гарантированная к передаче в ПФР, равна номиналу, т.е. сумме страховых взносов, которые уплатили за гражданина его работодатели, без учета инвестиционного дохода. Если вырученные от реализации Агентством по страхованию вкладов активов НПФ средства превысят размер гарантируемого номинала, то средства в размере </w:t>
      </w:r>
      <w:r w:rsidRPr="00B813A7">
        <w:rPr>
          <w:rFonts w:ascii="Times New Roman" w:hAnsi="Times New Roman" w:cs="Times New Roman"/>
          <w:sz w:val="28"/>
          <w:szCs w:val="28"/>
          <w:lang w:eastAsia="ru-RU"/>
        </w:rPr>
        <w:lastRenderedPageBreak/>
        <w:t>превышения также поступят в ПФР для восстановления или частичного восстановления гражданину потерянного инвестиционного дохода.</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Как гражданин может узнать о сформированных за счет средств пенсионных накоплений пенсионных правах и уточнить страховщика, формирующего его пенсионные накопления?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Уточнить страховщика, который формирует пенсионные накопления, получить информацию о сумме средств пенсионных накоплений и результатах их инвестирования гражданин может в личном кабинете на сайте ПФР www.pfrf.ru.</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ПФР предоставит информацию о результатах инвестирования средств пенсионных накоплений за периоды, когда ПФР являлся страховщиком гражданина.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Если страховщиком гражданина является НПФ, сведения о результатах инвестирования средств пенсионных накоплений представляет этот НПФ.</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Так, после перевода средств выбранный НПФ обязан раз в год по обращению гражданина информировать его по установленной форме о сумме его пенсионных накоплений и результатах их инвестирования. Данная информация предоставляется в течение 10 дней со дня обращения гражданина в форме электронного документа через Интернет, а также иным способом, в том числе почтовым отправлением.</w:t>
      </w:r>
    </w:p>
    <w:p w:rsidR="00B813A7" w:rsidRP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 Как гражданин может получить средства пенсионных накоплений и куда следует обращаться за выплатой средств пенсионных накоплений?</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Обращаться за выплатой средств пенсионных накоплений необходимо к страховщику, у которого формировались пенсионные накопления гражданина.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Средства пенсионных накоплений можно получить в виде:</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Единовременной выплаты – выплачиваются сразу все пенсионные накопления одной суммой. Получатели: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(с учетом переходных положений пенсионной формулы).</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lastRenderedPageBreak/>
        <w:t xml:space="preserve">Срочной пенсионной выплаты. Ее продолжительность определяет сам гражданин, но она не может быть меньше 10 лет. </w:t>
      </w:r>
      <w:proofErr w:type="gramStart"/>
      <w:r w:rsidRPr="00B813A7">
        <w:rPr>
          <w:rFonts w:ascii="Times New Roman" w:hAnsi="Times New Roman" w:cs="Times New Roman"/>
          <w:sz w:val="28"/>
          <w:szCs w:val="28"/>
          <w:lang w:eastAsia="ru-RU"/>
        </w:rPr>
        <w:t xml:space="preserve">Выплачивается при возникновении права на пенсию по старости лицам, сформировавшим пенсионные накопления за счет взносов в рамках Программы государственного </w:t>
      </w:r>
      <w:proofErr w:type="spellStart"/>
      <w:r w:rsidRPr="00B813A7">
        <w:rPr>
          <w:rFonts w:ascii="Times New Roman" w:hAnsi="Times New Roman" w:cs="Times New Roman"/>
          <w:sz w:val="28"/>
          <w:szCs w:val="28"/>
          <w:lang w:eastAsia="ru-RU"/>
        </w:rPr>
        <w:t>софинансирования</w:t>
      </w:r>
      <w:proofErr w:type="spellEnd"/>
      <w:r w:rsidRPr="00B813A7">
        <w:rPr>
          <w:rFonts w:ascii="Times New Roman" w:hAnsi="Times New Roman" w:cs="Times New Roman"/>
          <w:sz w:val="28"/>
          <w:szCs w:val="28"/>
          <w:lang w:eastAsia="ru-RU"/>
        </w:rPr>
        <w:t xml:space="preserve"> пенсии, в том числе взносов работодателя, взносов государства на </w:t>
      </w:r>
      <w:proofErr w:type="spellStart"/>
      <w:r w:rsidRPr="00B813A7">
        <w:rPr>
          <w:rFonts w:ascii="Times New Roman" w:hAnsi="Times New Roman" w:cs="Times New Roman"/>
          <w:sz w:val="28"/>
          <w:szCs w:val="28"/>
          <w:lang w:eastAsia="ru-RU"/>
        </w:rPr>
        <w:t>софинансирование</w:t>
      </w:r>
      <w:proofErr w:type="spellEnd"/>
      <w:r w:rsidRPr="00B813A7">
        <w:rPr>
          <w:rFonts w:ascii="Times New Roman" w:hAnsi="Times New Roman" w:cs="Times New Roman"/>
          <w:sz w:val="28"/>
          <w:szCs w:val="28"/>
          <w:lang w:eastAsia="ru-RU"/>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proofErr w:type="gramEnd"/>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Накопительной пенсии – осуществляется ежемесячно и </w:t>
      </w:r>
      <w:proofErr w:type="spellStart"/>
      <w:r w:rsidRPr="00B813A7">
        <w:rPr>
          <w:rFonts w:ascii="Times New Roman" w:hAnsi="Times New Roman" w:cs="Times New Roman"/>
          <w:sz w:val="28"/>
          <w:szCs w:val="28"/>
          <w:lang w:eastAsia="ru-RU"/>
        </w:rPr>
        <w:t>пожизненно</w:t>
      </w:r>
      <w:proofErr w:type="gramStart"/>
      <w:r w:rsidRPr="00B813A7">
        <w:rPr>
          <w:rFonts w:ascii="Times New Roman" w:hAnsi="Times New Roman" w:cs="Times New Roman"/>
          <w:sz w:val="28"/>
          <w:szCs w:val="28"/>
          <w:lang w:eastAsia="ru-RU"/>
        </w:rPr>
        <w:t>.Е</w:t>
      </w:r>
      <w:proofErr w:type="gramEnd"/>
      <w:r w:rsidRPr="00B813A7">
        <w:rPr>
          <w:rFonts w:ascii="Times New Roman" w:hAnsi="Times New Roman" w:cs="Times New Roman"/>
          <w:sz w:val="28"/>
          <w:szCs w:val="28"/>
          <w:lang w:eastAsia="ru-RU"/>
        </w:rPr>
        <w:t>е</w:t>
      </w:r>
      <w:proofErr w:type="spellEnd"/>
      <w:r w:rsidRPr="00B813A7">
        <w:rPr>
          <w:rFonts w:ascii="Times New Roman" w:hAnsi="Times New Roman" w:cs="Times New Roman"/>
          <w:sz w:val="28"/>
          <w:szCs w:val="28"/>
          <w:lang w:eastAsia="ru-RU"/>
        </w:rPr>
        <w:t xml:space="preserve"> размер рассчитывается исходя из ожидаемого периода выплаты с 2019 года – 21 год (252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величины индивидуальных пенсионных коэффициентов (ИПК) и стажа: в 2019 году это 16,2 ИПК и 10 лет, соответственно.</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пенсионер работающим или неработающим.</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Средства пенсионных накоплений, в том числе сформированные за счет участия в Программе государственного </w:t>
      </w:r>
      <w:proofErr w:type="spellStart"/>
      <w:r w:rsidRPr="00B813A7">
        <w:rPr>
          <w:rFonts w:ascii="Times New Roman" w:hAnsi="Times New Roman" w:cs="Times New Roman"/>
          <w:sz w:val="28"/>
          <w:szCs w:val="28"/>
          <w:lang w:eastAsia="ru-RU"/>
        </w:rPr>
        <w:t>софинансирования</w:t>
      </w:r>
      <w:proofErr w:type="spellEnd"/>
      <w:r w:rsidRPr="00B813A7">
        <w:rPr>
          <w:rFonts w:ascii="Times New Roman" w:hAnsi="Times New Roman" w:cs="Times New Roman"/>
          <w:sz w:val="28"/>
          <w:szCs w:val="28"/>
          <w:lang w:eastAsia="ru-RU"/>
        </w:rPr>
        <w:t xml:space="preserve"> пенсии, могут быть выплачены правопреемникам.</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Гражданин имеет право заранее определить правопреемников сре</w:t>
      </w:r>
      <w:proofErr w:type="gramStart"/>
      <w:r w:rsidRPr="00B813A7">
        <w:rPr>
          <w:rFonts w:ascii="Times New Roman" w:hAnsi="Times New Roman" w:cs="Times New Roman"/>
          <w:sz w:val="28"/>
          <w:szCs w:val="28"/>
          <w:lang w:eastAsia="ru-RU"/>
        </w:rPr>
        <w:t>дств св</w:t>
      </w:r>
      <w:proofErr w:type="gramEnd"/>
      <w:r w:rsidRPr="00B813A7">
        <w:rPr>
          <w:rFonts w:ascii="Times New Roman" w:hAnsi="Times New Roman" w:cs="Times New Roman"/>
          <w:sz w:val="28"/>
          <w:szCs w:val="28"/>
          <w:lang w:eastAsia="ru-RU"/>
        </w:rPr>
        <w:t>оих пенсионных накоплений и то, в каких долях будут распределяться между ними эти средства в случае его смерти. Для определения правопреемников необходимо подать заявление в ПФР (или в НПФ, если пенсионные накопления формируются в нем) и указать своих правопреемников и то, в каких долях будут распределяться между ними накопления.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lastRenderedPageBreak/>
        <w:t>Правопреемниками пенсионных накоплений могут быть лица, указанные в заявлении гражданина. В заявлении также можно определить, в каких долях будут распределяться между ними эти средства.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Если такого заявления нет, то правопреемниками считаются родственники умершего, определенные в соответствии с законодательством РФ. Выплата средств пенсионных накоплений родственникам одной очереди осуществляется в равных долях. Правопреемники второй очереди имеют право на получение средств пенсионных накоплений, если отсутствуют родственники первой очереди.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Средства пенсионных накоплений могут быть выплачены правопреемникам, если смерть гражданина наступила: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ДО назначения ему выплаты за счет средств пенсионных накоплений или до перерасчета ее размера с учетом дополнительных пенсионных накоплений (за исключением средств материнского (семейного) капитала, направленных на формирование будущей пенсии);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ПОСЛЕ назначения ему срочной пенсионной выплаты. В этом случае правопреемники вправе получить невыплаченный остаток средств пенсионных накоплений (за исключением средств материнского (семейного) капитала, направленных на формирование будущей пенсии);</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 xml:space="preserve">- ПОСЛЕ того, как была назначена, но еще не выплачена ему единовременная выплата средств пенсионных накоплений. </w:t>
      </w:r>
      <w:proofErr w:type="gramStart"/>
      <w:r w:rsidRPr="00B813A7">
        <w:rPr>
          <w:rFonts w:ascii="Times New Roman" w:hAnsi="Times New Roman" w:cs="Times New Roman"/>
          <w:sz w:val="28"/>
          <w:szCs w:val="28"/>
          <w:lang w:eastAsia="ru-RU"/>
        </w:rPr>
        <w:t>Ее могут получить члены семьи умершего пенсионера (при условии совместного с ним проживания), а также его нетрудоспособные иждивенцы (независимо от того, проживали они совместно с умершим или нет) в течение 4 месяцев со дня смерти гражданина.</w:t>
      </w:r>
      <w:proofErr w:type="gramEnd"/>
      <w:r w:rsidRPr="00B813A7">
        <w:rPr>
          <w:rFonts w:ascii="Times New Roman" w:hAnsi="Times New Roman" w:cs="Times New Roman"/>
          <w:sz w:val="28"/>
          <w:szCs w:val="28"/>
          <w:lang w:eastAsia="ru-RU"/>
        </w:rPr>
        <w:t xml:space="preserve"> Если указанные лица отсутствуют, сумма единовременной выплаты включается в состав наследства и наследуется на общих основаниях.</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Если гражданину была установлена выплата накопительной пенсии (бессрочно), в случае его смерти средства пенсионных накоплений правопреемникам не выплачиваются.</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Для получения средств пенсионных накоплений умершего гражданина правопреемникам необходимо не позднее 6 месяцев со дня его смерти лично, по почте или через представителя обратиться в ПФР или НПФ.</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Если пропущен указанный срок, его можно восстановить только в судебном порядке.</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При подаче заявления необходимо предъявить документы, подтверждающие родственные отношения и документы личного хранения. Перечень документов определен Правилами, утвержденными постановлениями Правительства РФ от 30 июля 2014 года №710 и №711.</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lastRenderedPageBreak/>
        <w:t>Выплата правопреемникам умершего застрахованного лица средств пенсионных накоплений осуществляется не позднее 20 числа месяца, следующего за месяцем принятия решения о выплате. Решение о выплате принимается в течение седьмого месяца со дня смерти гражданина.</w:t>
      </w:r>
    </w:p>
    <w:p w:rsidR="00B813A7" w:rsidRPr="00B813A7" w:rsidRDefault="00B813A7" w:rsidP="00B813A7">
      <w:pPr>
        <w:jc w:val="both"/>
        <w:rPr>
          <w:rFonts w:ascii="Times New Roman" w:hAnsi="Times New Roman" w:cs="Times New Roman"/>
          <w:sz w:val="28"/>
          <w:szCs w:val="28"/>
          <w:lang w:eastAsia="ru-RU"/>
        </w:rPr>
      </w:pPr>
      <w:r w:rsidRPr="00B813A7">
        <w:rPr>
          <w:rFonts w:ascii="Times New Roman" w:hAnsi="Times New Roman" w:cs="Times New Roman"/>
          <w:sz w:val="28"/>
          <w:szCs w:val="28"/>
          <w:lang w:eastAsia="ru-RU"/>
        </w:rPr>
        <w:t>Пенсионные накопления можно получить: через почтовое отделение связи, а также путем перечисления средств на банковский счет/банковские счета правопреемников.</w:t>
      </w:r>
    </w:p>
    <w:p w:rsidR="00B813A7" w:rsidRDefault="00B813A7" w:rsidP="00B813A7">
      <w:pPr>
        <w:jc w:val="both"/>
        <w:rPr>
          <w:rFonts w:ascii="Times New Roman" w:hAnsi="Times New Roman" w:cs="Times New Roman"/>
          <w:b/>
          <w:i/>
          <w:sz w:val="28"/>
          <w:szCs w:val="28"/>
          <w:lang w:eastAsia="ru-RU"/>
        </w:rPr>
      </w:pPr>
      <w:r w:rsidRPr="00B813A7">
        <w:rPr>
          <w:rFonts w:ascii="Times New Roman" w:hAnsi="Times New Roman" w:cs="Times New Roman"/>
          <w:b/>
          <w:i/>
          <w:sz w:val="28"/>
          <w:szCs w:val="28"/>
          <w:lang w:eastAsia="ru-RU"/>
        </w:rPr>
        <w:t>Справочно: В Республике Адыгея с 01.01.2012 (с момента вступления в действие нормативно – правовых актов, обеспечивающих реализацию права на получение выплат за счет средств пенсионных накоплений) обратились за назначением выплат за счет СПН более 23 тыс. граждан, принято 22,7 тыс. решений о выплате СПН, в т</w:t>
      </w:r>
      <w:proofErr w:type="gramStart"/>
      <w:r w:rsidRPr="00B813A7">
        <w:rPr>
          <w:rFonts w:ascii="Times New Roman" w:hAnsi="Times New Roman" w:cs="Times New Roman"/>
          <w:b/>
          <w:i/>
          <w:sz w:val="28"/>
          <w:szCs w:val="28"/>
          <w:lang w:eastAsia="ru-RU"/>
        </w:rPr>
        <w:t>.ч</w:t>
      </w:r>
      <w:proofErr w:type="gramEnd"/>
      <w:r w:rsidRPr="00B813A7">
        <w:rPr>
          <w:rFonts w:ascii="Times New Roman" w:hAnsi="Times New Roman" w:cs="Times New Roman"/>
          <w:b/>
          <w:i/>
          <w:sz w:val="28"/>
          <w:szCs w:val="28"/>
          <w:lang w:eastAsia="ru-RU"/>
        </w:rPr>
        <w:t xml:space="preserve"> о единовременной выплате СПН – 22,5 тыс. решений, об установлении накопительной пенсии – 124 решения, об установлении срочной выплаты – 79 решений).</w:t>
      </w:r>
    </w:p>
    <w:p w:rsidR="00B813A7" w:rsidRDefault="00B813A7" w:rsidP="00B813A7">
      <w:pPr>
        <w:jc w:val="both"/>
        <w:rPr>
          <w:rFonts w:ascii="Times New Roman" w:hAnsi="Times New Roman" w:cs="Times New Roman"/>
          <w:b/>
          <w:i/>
          <w:sz w:val="28"/>
          <w:szCs w:val="28"/>
          <w:lang w:eastAsia="ru-RU"/>
        </w:rPr>
      </w:pPr>
      <w:bookmarkStart w:id="0" w:name="_GoBack"/>
      <w:bookmarkEnd w:id="0"/>
    </w:p>
    <w:sectPr w:rsidR="00B813A7" w:rsidSect="009D1AA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67740EA"/>
    <w:multiLevelType w:val="multilevel"/>
    <w:tmpl w:val="164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A59E1"/>
    <w:multiLevelType w:val="hybridMultilevel"/>
    <w:tmpl w:val="8A7C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566FE"/>
    <w:multiLevelType w:val="multilevel"/>
    <w:tmpl w:val="D1CA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B0DAA"/>
    <w:multiLevelType w:val="multilevel"/>
    <w:tmpl w:val="D63E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C23DA"/>
    <w:multiLevelType w:val="multilevel"/>
    <w:tmpl w:val="2C0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E2222"/>
    <w:multiLevelType w:val="multilevel"/>
    <w:tmpl w:val="7976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873A5"/>
    <w:multiLevelType w:val="multilevel"/>
    <w:tmpl w:val="B3AA1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93BC0"/>
    <w:multiLevelType w:val="multilevel"/>
    <w:tmpl w:val="4F6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744FC"/>
    <w:multiLevelType w:val="multilevel"/>
    <w:tmpl w:val="6764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F194D"/>
    <w:multiLevelType w:val="multilevel"/>
    <w:tmpl w:val="A0F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B1015"/>
    <w:multiLevelType w:val="multilevel"/>
    <w:tmpl w:val="2B0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A639E"/>
    <w:multiLevelType w:val="multilevel"/>
    <w:tmpl w:val="DFB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F204C"/>
    <w:multiLevelType w:val="multilevel"/>
    <w:tmpl w:val="7B9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05D6B"/>
    <w:multiLevelType w:val="multilevel"/>
    <w:tmpl w:val="4A5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46E7E"/>
    <w:multiLevelType w:val="multilevel"/>
    <w:tmpl w:val="6B26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A4116"/>
    <w:multiLevelType w:val="hybridMultilevel"/>
    <w:tmpl w:val="3726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34B81"/>
    <w:multiLevelType w:val="multilevel"/>
    <w:tmpl w:val="B212F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D2772D"/>
    <w:multiLevelType w:val="multilevel"/>
    <w:tmpl w:val="B20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D2567"/>
    <w:multiLevelType w:val="multilevel"/>
    <w:tmpl w:val="44C48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A44936"/>
    <w:multiLevelType w:val="multilevel"/>
    <w:tmpl w:val="BBD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05C48"/>
    <w:multiLevelType w:val="multilevel"/>
    <w:tmpl w:val="F46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B3E62"/>
    <w:multiLevelType w:val="multilevel"/>
    <w:tmpl w:val="D36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13"/>
  </w:num>
  <w:num w:numId="5">
    <w:abstractNumId w:val="5"/>
  </w:num>
  <w:num w:numId="6">
    <w:abstractNumId w:val="18"/>
  </w:num>
  <w:num w:numId="7">
    <w:abstractNumId w:val="12"/>
  </w:num>
  <w:num w:numId="8">
    <w:abstractNumId w:val="22"/>
  </w:num>
  <w:num w:numId="9">
    <w:abstractNumId w:val="4"/>
  </w:num>
  <w:num w:numId="10">
    <w:abstractNumId w:val="1"/>
  </w:num>
  <w:num w:numId="11">
    <w:abstractNumId w:val="20"/>
  </w:num>
  <w:num w:numId="12">
    <w:abstractNumId w:val="21"/>
  </w:num>
  <w:num w:numId="13">
    <w:abstractNumId w:val="9"/>
  </w:num>
  <w:num w:numId="14">
    <w:abstractNumId w:val="10"/>
  </w:num>
  <w:num w:numId="15">
    <w:abstractNumId w:val="16"/>
  </w:num>
  <w:num w:numId="16">
    <w:abstractNumId w:val="0"/>
  </w:num>
  <w:num w:numId="17">
    <w:abstractNumId w:val="2"/>
  </w:num>
  <w:num w:numId="18">
    <w:abstractNumId w:val="6"/>
  </w:num>
  <w:num w:numId="19">
    <w:abstractNumId w:val="19"/>
  </w:num>
  <w:num w:numId="20">
    <w:abstractNumId w:val="3"/>
  </w:num>
  <w:num w:numId="21">
    <w:abstractNumId w:val="17"/>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26F34"/>
    <w:rsid w:val="0000001C"/>
    <w:rsid w:val="00027F47"/>
    <w:rsid w:val="000469E6"/>
    <w:rsid w:val="0006122B"/>
    <w:rsid w:val="000754C5"/>
    <w:rsid w:val="00124F54"/>
    <w:rsid w:val="001324D3"/>
    <w:rsid w:val="001952C8"/>
    <w:rsid w:val="001A7F89"/>
    <w:rsid w:val="001B0A89"/>
    <w:rsid w:val="001E68BE"/>
    <w:rsid w:val="002173FF"/>
    <w:rsid w:val="002A214D"/>
    <w:rsid w:val="0035100E"/>
    <w:rsid w:val="00353264"/>
    <w:rsid w:val="003672C3"/>
    <w:rsid w:val="00384B2A"/>
    <w:rsid w:val="003923EF"/>
    <w:rsid w:val="003A5D96"/>
    <w:rsid w:val="003B6A9E"/>
    <w:rsid w:val="003D2E5D"/>
    <w:rsid w:val="004668EC"/>
    <w:rsid w:val="004C75DB"/>
    <w:rsid w:val="004D66F6"/>
    <w:rsid w:val="004D7CE9"/>
    <w:rsid w:val="0055726C"/>
    <w:rsid w:val="00562379"/>
    <w:rsid w:val="005C320C"/>
    <w:rsid w:val="005D6CF0"/>
    <w:rsid w:val="005F0732"/>
    <w:rsid w:val="005F426C"/>
    <w:rsid w:val="006156CD"/>
    <w:rsid w:val="00653B3F"/>
    <w:rsid w:val="006E4B98"/>
    <w:rsid w:val="006E4E5A"/>
    <w:rsid w:val="0070643E"/>
    <w:rsid w:val="00720868"/>
    <w:rsid w:val="0073509E"/>
    <w:rsid w:val="007A4CD6"/>
    <w:rsid w:val="00832FA0"/>
    <w:rsid w:val="008630DD"/>
    <w:rsid w:val="00871F2A"/>
    <w:rsid w:val="008A4C04"/>
    <w:rsid w:val="00926F34"/>
    <w:rsid w:val="00935DEA"/>
    <w:rsid w:val="00975D1D"/>
    <w:rsid w:val="009D1AAF"/>
    <w:rsid w:val="009E0AF0"/>
    <w:rsid w:val="00A174A8"/>
    <w:rsid w:val="00A35A2A"/>
    <w:rsid w:val="00AB7DDB"/>
    <w:rsid w:val="00AD10E4"/>
    <w:rsid w:val="00B0109E"/>
    <w:rsid w:val="00B42B9C"/>
    <w:rsid w:val="00B804D1"/>
    <w:rsid w:val="00B813A7"/>
    <w:rsid w:val="00BF1BCF"/>
    <w:rsid w:val="00C07D17"/>
    <w:rsid w:val="00C52D2F"/>
    <w:rsid w:val="00C7316C"/>
    <w:rsid w:val="00CB16FE"/>
    <w:rsid w:val="00CF3588"/>
    <w:rsid w:val="00D22E88"/>
    <w:rsid w:val="00D83628"/>
    <w:rsid w:val="00E81EE3"/>
    <w:rsid w:val="00F54A75"/>
    <w:rsid w:val="00F911B0"/>
    <w:rsid w:val="00FD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6C"/>
  </w:style>
  <w:style w:type="paragraph" w:styleId="1">
    <w:name w:val="heading 1"/>
    <w:basedOn w:val="a"/>
    <w:link w:val="10"/>
    <w:uiPriority w:val="9"/>
    <w:qFormat/>
    <w:rsid w:val="00FD1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1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D1D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highlight">
    <w:name w:val="text-highlight"/>
    <w:basedOn w:val="a0"/>
    <w:rsid w:val="00926F34"/>
  </w:style>
  <w:style w:type="character" w:styleId="a3">
    <w:name w:val="Strong"/>
    <w:basedOn w:val="a0"/>
    <w:uiPriority w:val="22"/>
    <w:qFormat/>
    <w:rsid w:val="0073509E"/>
    <w:rPr>
      <w:b/>
      <w:bCs/>
    </w:rPr>
  </w:style>
  <w:style w:type="paragraph" w:styleId="a4">
    <w:name w:val="Balloon Text"/>
    <w:basedOn w:val="a"/>
    <w:link w:val="a5"/>
    <w:uiPriority w:val="99"/>
    <w:semiHidden/>
    <w:unhideWhenUsed/>
    <w:rsid w:val="00706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43E"/>
    <w:rPr>
      <w:rFonts w:ascii="Tahoma" w:hAnsi="Tahoma" w:cs="Tahoma"/>
      <w:sz w:val="16"/>
      <w:szCs w:val="16"/>
    </w:rPr>
  </w:style>
  <w:style w:type="character" w:customStyle="1" w:styleId="10">
    <w:name w:val="Заголовок 1 Знак"/>
    <w:basedOn w:val="a0"/>
    <w:link w:val="1"/>
    <w:uiPriority w:val="9"/>
    <w:rsid w:val="00FD1D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1D1E"/>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FD1D1E"/>
    <w:rPr>
      <w:color w:val="0000FF"/>
      <w:u w:val="single"/>
    </w:rPr>
  </w:style>
  <w:style w:type="paragraph" w:styleId="a7">
    <w:name w:val="Normal (Web)"/>
    <w:basedOn w:val="a"/>
    <w:uiPriority w:val="99"/>
    <w:semiHidden/>
    <w:unhideWhenUsed/>
    <w:rsid w:val="00FD1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D1D1E"/>
    <w:rPr>
      <w:i/>
      <w:iCs/>
    </w:rPr>
  </w:style>
  <w:style w:type="character" w:customStyle="1" w:styleId="20">
    <w:name w:val="Заголовок 2 Знак"/>
    <w:basedOn w:val="a0"/>
    <w:link w:val="2"/>
    <w:uiPriority w:val="9"/>
    <w:semiHidden/>
    <w:rsid w:val="00FD1D1E"/>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384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159">
      <w:bodyDiv w:val="1"/>
      <w:marLeft w:val="0"/>
      <w:marRight w:val="0"/>
      <w:marTop w:val="0"/>
      <w:marBottom w:val="0"/>
      <w:divBdr>
        <w:top w:val="none" w:sz="0" w:space="0" w:color="auto"/>
        <w:left w:val="none" w:sz="0" w:space="0" w:color="auto"/>
        <w:bottom w:val="none" w:sz="0" w:space="0" w:color="auto"/>
        <w:right w:val="none" w:sz="0" w:space="0" w:color="auto"/>
      </w:divBdr>
      <w:divsChild>
        <w:div w:id="936450822">
          <w:marLeft w:val="0"/>
          <w:marRight w:val="0"/>
          <w:marTop w:val="0"/>
          <w:marBottom w:val="0"/>
          <w:divBdr>
            <w:top w:val="none" w:sz="0" w:space="0" w:color="auto"/>
            <w:left w:val="none" w:sz="0" w:space="0" w:color="auto"/>
            <w:bottom w:val="none" w:sz="0" w:space="0" w:color="auto"/>
            <w:right w:val="none" w:sz="0" w:space="0" w:color="auto"/>
          </w:divBdr>
        </w:div>
        <w:div w:id="1264652128">
          <w:marLeft w:val="0"/>
          <w:marRight w:val="0"/>
          <w:marTop w:val="0"/>
          <w:marBottom w:val="0"/>
          <w:divBdr>
            <w:top w:val="none" w:sz="0" w:space="0" w:color="auto"/>
            <w:left w:val="none" w:sz="0" w:space="0" w:color="auto"/>
            <w:bottom w:val="none" w:sz="0" w:space="0" w:color="auto"/>
            <w:right w:val="none" w:sz="0" w:space="0" w:color="auto"/>
          </w:divBdr>
        </w:div>
        <w:div w:id="1636251552">
          <w:marLeft w:val="0"/>
          <w:marRight w:val="0"/>
          <w:marTop w:val="0"/>
          <w:marBottom w:val="501"/>
          <w:divBdr>
            <w:top w:val="none" w:sz="0" w:space="0" w:color="auto"/>
            <w:left w:val="none" w:sz="0" w:space="0" w:color="auto"/>
            <w:bottom w:val="none" w:sz="0" w:space="0" w:color="auto"/>
            <w:right w:val="none" w:sz="0" w:space="0" w:color="auto"/>
          </w:divBdr>
          <w:divsChild>
            <w:div w:id="5110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547">
      <w:bodyDiv w:val="1"/>
      <w:marLeft w:val="0"/>
      <w:marRight w:val="0"/>
      <w:marTop w:val="0"/>
      <w:marBottom w:val="0"/>
      <w:divBdr>
        <w:top w:val="none" w:sz="0" w:space="0" w:color="auto"/>
        <w:left w:val="none" w:sz="0" w:space="0" w:color="auto"/>
        <w:bottom w:val="none" w:sz="0" w:space="0" w:color="auto"/>
        <w:right w:val="none" w:sz="0" w:space="0" w:color="auto"/>
      </w:divBdr>
      <w:divsChild>
        <w:div w:id="1675838621">
          <w:marLeft w:val="0"/>
          <w:marRight w:val="0"/>
          <w:marTop w:val="0"/>
          <w:marBottom w:val="0"/>
          <w:divBdr>
            <w:top w:val="none" w:sz="0" w:space="0" w:color="auto"/>
            <w:left w:val="none" w:sz="0" w:space="0" w:color="auto"/>
            <w:bottom w:val="none" w:sz="0" w:space="0" w:color="auto"/>
            <w:right w:val="none" w:sz="0" w:space="0" w:color="auto"/>
          </w:divBdr>
        </w:div>
        <w:div w:id="1333602632">
          <w:marLeft w:val="0"/>
          <w:marRight w:val="0"/>
          <w:marTop w:val="0"/>
          <w:marBottom w:val="0"/>
          <w:divBdr>
            <w:top w:val="none" w:sz="0" w:space="0" w:color="auto"/>
            <w:left w:val="none" w:sz="0" w:space="0" w:color="auto"/>
            <w:bottom w:val="none" w:sz="0" w:space="0" w:color="auto"/>
            <w:right w:val="none" w:sz="0" w:space="0" w:color="auto"/>
          </w:divBdr>
          <w:divsChild>
            <w:div w:id="1249266234">
              <w:marLeft w:val="25"/>
              <w:marRight w:val="25"/>
              <w:marTop w:val="25"/>
              <w:marBottom w:val="25"/>
              <w:divBdr>
                <w:top w:val="none" w:sz="0" w:space="0" w:color="auto"/>
                <w:left w:val="none" w:sz="0" w:space="0" w:color="auto"/>
                <w:bottom w:val="none" w:sz="0" w:space="0" w:color="auto"/>
                <w:right w:val="none" w:sz="0" w:space="0" w:color="auto"/>
              </w:divBdr>
            </w:div>
          </w:divsChild>
        </w:div>
        <w:div w:id="1756709337">
          <w:marLeft w:val="0"/>
          <w:marRight w:val="0"/>
          <w:marTop w:val="0"/>
          <w:marBottom w:val="501"/>
          <w:divBdr>
            <w:top w:val="none" w:sz="0" w:space="0" w:color="auto"/>
            <w:left w:val="none" w:sz="0" w:space="0" w:color="auto"/>
            <w:bottom w:val="none" w:sz="0" w:space="0" w:color="auto"/>
            <w:right w:val="none" w:sz="0" w:space="0" w:color="auto"/>
          </w:divBdr>
          <w:divsChild>
            <w:div w:id="449786880">
              <w:marLeft w:val="0"/>
              <w:marRight w:val="0"/>
              <w:marTop w:val="0"/>
              <w:marBottom w:val="0"/>
              <w:divBdr>
                <w:top w:val="none" w:sz="0" w:space="0" w:color="auto"/>
                <w:left w:val="none" w:sz="0" w:space="0" w:color="auto"/>
                <w:bottom w:val="none" w:sz="0" w:space="0" w:color="auto"/>
                <w:right w:val="none" w:sz="0" w:space="0" w:color="auto"/>
              </w:divBdr>
            </w:div>
          </w:divsChild>
        </w:div>
        <w:div w:id="1774393596">
          <w:marLeft w:val="0"/>
          <w:marRight w:val="0"/>
          <w:marTop w:val="0"/>
          <w:marBottom w:val="0"/>
          <w:divBdr>
            <w:top w:val="none" w:sz="0" w:space="0" w:color="auto"/>
            <w:left w:val="none" w:sz="0" w:space="0" w:color="auto"/>
            <w:bottom w:val="none" w:sz="0" w:space="0" w:color="auto"/>
            <w:right w:val="none" w:sz="0" w:space="0" w:color="auto"/>
          </w:divBdr>
          <w:divsChild>
            <w:div w:id="13098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
    <w:div w:id="529681589">
      <w:bodyDiv w:val="1"/>
      <w:marLeft w:val="0"/>
      <w:marRight w:val="0"/>
      <w:marTop w:val="0"/>
      <w:marBottom w:val="0"/>
      <w:divBdr>
        <w:top w:val="none" w:sz="0" w:space="0" w:color="auto"/>
        <w:left w:val="none" w:sz="0" w:space="0" w:color="auto"/>
        <w:bottom w:val="none" w:sz="0" w:space="0" w:color="auto"/>
        <w:right w:val="none" w:sz="0" w:space="0" w:color="auto"/>
      </w:divBdr>
    </w:div>
    <w:div w:id="587662875">
      <w:bodyDiv w:val="1"/>
      <w:marLeft w:val="0"/>
      <w:marRight w:val="0"/>
      <w:marTop w:val="0"/>
      <w:marBottom w:val="0"/>
      <w:divBdr>
        <w:top w:val="none" w:sz="0" w:space="0" w:color="auto"/>
        <w:left w:val="none" w:sz="0" w:space="0" w:color="auto"/>
        <w:bottom w:val="none" w:sz="0" w:space="0" w:color="auto"/>
        <w:right w:val="none" w:sz="0" w:space="0" w:color="auto"/>
      </w:divBdr>
      <w:divsChild>
        <w:div w:id="833840060">
          <w:marLeft w:val="0"/>
          <w:marRight w:val="0"/>
          <w:marTop w:val="0"/>
          <w:marBottom w:val="0"/>
          <w:divBdr>
            <w:top w:val="none" w:sz="0" w:space="0" w:color="auto"/>
            <w:left w:val="none" w:sz="0" w:space="0" w:color="auto"/>
            <w:bottom w:val="none" w:sz="0" w:space="0" w:color="auto"/>
            <w:right w:val="none" w:sz="0" w:space="0" w:color="auto"/>
          </w:divBdr>
        </w:div>
        <w:div w:id="25915391">
          <w:marLeft w:val="0"/>
          <w:marRight w:val="0"/>
          <w:marTop w:val="0"/>
          <w:marBottom w:val="0"/>
          <w:divBdr>
            <w:top w:val="none" w:sz="0" w:space="0" w:color="auto"/>
            <w:left w:val="none" w:sz="0" w:space="0" w:color="auto"/>
            <w:bottom w:val="none" w:sz="0" w:space="0" w:color="auto"/>
            <w:right w:val="none" w:sz="0" w:space="0" w:color="auto"/>
          </w:divBdr>
          <w:divsChild>
            <w:div w:id="1311057759">
              <w:marLeft w:val="63"/>
              <w:marRight w:val="63"/>
              <w:marTop w:val="63"/>
              <w:marBottom w:val="63"/>
              <w:divBdr>
                <w:top w:val="none" w:sz="0" w:space="0" w:color="auto"/>
                <w:left w:val="none" w:sz="0" w:space="0" w:color="auto"/>
                <w:bottom w:val="none" w:sz="0" w:space="0" w:color="auto"/>
                <w:right w:val="none" w:sz="0" w:space="0" w:color="auto"/>
              </w:divBdr>
            </w:div>
            <w:div w:id="13556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880">
      <w:bodyDiv w:val="1"/>
      <w:marLeft w:val="0"/>
      <w:marRight w:val="0"/>
      <w:marTop w:val="0"/>
      <w:marBottom w:val="0"/>
      <w:divBdr>
        <w:top w:val="none" w:sz="0" w:space="0" w:color="auto"/>
        <w:left w:val="none" w:sz="0" w:space="0" w:color="auto"/>
        <w:bottom w:val="none" w:sz="0" w:space="0" w:color="auto"/>
        <w:right w:val="none" w:sz="0" w:space="0" w:color="auto"/>
      </w:divBdr>
    </w:div>
    <w:div w:id="739984410">
      <w:bodyDiv w:val="1"/>
      <w:marLeft w:val="0"/>
      <w:marRight w:val="0"/>
      <w:marTop w:val="0"/>
      <w:marBottom w:val="0"/>
      <w:divBdr>
        <w:top w:val="none" w:sz="0" w:space="0" w:color="auto"/>
        <w:left w:val="none" w:sz="0" w:space="0" w:color="auto"/>
        <w:bottom w:val="none" w:sz="0" w:space="0" w:color="auto"/>
        <w:right w:val="none" w:sz="0" w:space="0" w:color="auto"/>
      </w:divBdr>
    </w:div>
    <w:div w:id="742798976">
      <w:bodyDiv w:val="1"/>
      <w:marLeft w:val="0"/>
      <w:marRight w:val="0"/>
      <w:marTop w:val="0"/>
      <w:marBottom w:val="0"/>
      <w:divBdr>
        <w:top w:val="none" w:sz="0" w:space="0" w:color="auto"/>
        <w:left w:val="none" w:sz="0" w:space="0" w:color="auto"/>
        <w:bottom w:val="none" w:sz="0" w:space="0" w:color="auto"/>
        <w:right w:val="none" w:sz="0" w:space="0" w:color="auto"/>
      </w:divBdr>
      <w:divsChild>
        <w:div w:id="1595163537">
          <w:marLeft w:val="0"/>
          <w:marRight w:val="0"/>
          <w:marTop w:val="0"/>
          <w:marBottom w:val="0"/>
          <w:divBdr>
            <w:top w:val="none" w:sz="0" w:space="0" w:color="auto"/>
            <w:left w:val="none" w:sz="0" w:space="0" w:color="auto"/>
            <w:bottom w:val="none" w:sz="0" w:space="0" w:color="auto"/>
            <w:right w:val="none" w:sz="0" w:space="0" w:color="auto"/>
          </w:divBdr>
        </w:div>
        <w:div w:id="1126587419">
          <w:marLeft w:val="0"/>
          <w:marRight w:val="0"/>
          <w:marTop w:val="0"/>
          <w:marBottom w:val="501"/>
          <w:divBdr>
            <w:top w:val="none" w:sz="0" w:space="0" w:color="auto"/>
            <w:left w:val="none" w:sz="0" w:space="0" w:color="auto"/>
            <w:bottom w:val="none" w:sz="0" w:space="0" w:color="auto"/>
            <w:right w:val="none" w:sz="0" w:space="0" w:color="auto"/>
          </w:divBdr>
          <w:divsChild>
            <w:div w:id="614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3238">
      <w:bodyDiv w:val="1"/>
      <w:marLeft w:val="0"/>
      <w:marRight w:val="0"/>
      <w:marTop w:val="0"/>
      <w:marBottom w:val="0"/>
      <w:divBdr>
        <w:top w:val="none" w:sz="0" w:space="0" w:color="auto"/>
        <w:left w:val="none" w:sz="0" w:space="0" w:color="auto"/>
        <w:bottom w:val="none" w:sz="0" w:space="0" w:color="auto"/>
        <w:right w:val="none" w:sz="0" w:space="0" w:color="auto"/>
      </w:divBdr>
    </w:div>
    <w:div w:id="825783088">
      <w:bodyDiv w:val="1"/>
      <w:marLeft w:val="0"/>
      <w:marRight w:val="0"/>
      <w:marTop w:val="0"/>
      <w:marBottom w:val="0"/>
      <w:divBdr>
        <w:top w:val="none" w:sz="0" w:space="0" w:color="auto"/>
        <w:left w:val="none" w:sz="0" w:space="0" w:color="auto"/>
        <w:bottom w:val="none" w:sz="0" w:space="0" w:color="auto"/>
        <w:right w:val="none" w:sz="0" w:space="0" w:color="auto"/>
      </w:divBdr>
    </w:div>
    <w:div w:id="1241065900">
      <w:bodyDiv w:val="1"/>
      <w:marLeft w:val="0"/>
      <w:marRight w:val="0"/>
      <w:marTop w:val="0"/>
      <w:marBottom w:val="0"/>
      <w:divBdr>
        <w:top w:val="none" w:sz="0" w:space="0" w:color="auto"/>
        <w:left w:val="none" w:sz="0" w:space="0" w:color="auto"/>
        <w:bottom w:val="none" w:sz="0" w:space="0" w:color="auto"/>
        <w:right w:val="none" w:sz="0" w:space="0" w:color="auto"/>
      </w:divBdr>
      <w:divsChild>
        <w:div w:id="1488284560">
          <w:marLeft w:val="0"/>
          <w:marRight w:val="0"/>
          <w:marTop w:val="0"/>
          <w:marBottom w:val="0"/>
          <w:divBdr>
            <w:top w:val="none" w:sz="0" w:space="0" w:color="auto"/>
            <w:left w:val="none" w:sz="0" w:space="0" w:color="auto"/>
            <w:bottom w:val="none" w:sz="0" w:space="0" w:color="auto"/>
            <w:right w:val="none" w:sz="0" w:space="0" w:color="auto"/>
          </w:divBdr>
        </w:div>
        <w:div w:id="712002711">
          <w:marLeft w:val="0"/>
          <w:marRight w:val="0"/>
          <w:marTop w:val="0"/>
          <w:marBottom w:val="0"/>
          <w:divBdr>
            <w:top w:val="none" w:sz="0" w:space="0" w:color="auto"/>
            <w:left w:val="none" w:sz="0" w:space="0" w:color="auto"/>
            <w:bottom w:val="none" w:sz="0" w:space="0" w:color="auto"/>
            <w:right w:val="none" w:sz="0" w:space="0" w:color="auto"/>
          </w:divBdr>
        </w:div>
      </w:divsChild>
    </w:div>
    <w:div w:id="1371341407">
      <w:bodyDiv w:val="1"/>
      <w:marLeft w:val="0"/>
      <w:marRight w:val="0"/>
      <w:marTop w:val="0"/>
      <w:marBottom w:val="0"/>
      <w:divBdr>
        <w:top w:val="none" w:sz="0" w:space="0" w:color="auto"/>
        <w:left w:val="none" w:sz="0" w:space="0" w:color="auto"/>
        <w:bottom w:val="none" w:sz="0" w:space="0" w:color="auto"/>
        <w:right w:val="none" w:sz="0" w:space="0" w:color="auto"/>
      </w:divBdr>
      <w:divsChild>
        <w:div w:id="1998000699">
          <w:marLeft w:val="0"/>
          <w:marRight w:val="0"/>
          <w:marTop w:val="0"/>
          <w:marBottom w:val="0"/>
          <w:divBdr>
            <w:top w:val="none" w:sz="0" w:space="0" w:color="auto"/>
            <w:left w:val="none" w:sz="0" w:space="0" w:color="auto"/>
            <w:bottom w:val="none" w:sz="0" w:space="0" w:color="auto"/>
            <w:right w:val="none" w:sz="0" w:space="0" w:color="auto"/>
          </w:divBdr>
        </w:div>
        <w:div w:id="1558125583">
          <w:marLeft w:val="0"/>
          <w:marRight w:val="0"/>
          <w:marTop w:val="0"/>
          <w:marBottom w:val="0"/>
          <w:divBdr>
            <w:top w:val="none" w:sz="0" w:space="0" w:color="auto"/>
            <w:left w:val="none" w:sz="0" w:space="0" w:color="auto"/>
            <w:bottom w:val="none" w:sz="0" w:space="0" w:color="auto"/>
            <w:right w:val="none" w:sz="0" w:space="0" w:color="auto"/>
          </w:divBdr>
        </w:div>
        <w:div w:id="86078017">
          <w:marLeft w:val="0"/>
          <w:marRight w:val="0"/>
          <w:marTop w:val="0"/>
          <w:marBottom w:val="0"/>
          <w:divBdr>
            <w:top w:val="none" w:sz="0" w:space="0" w:color="auto"/>
            <w:left w:val="none" w:sz="0" w:space="0" w:color="auto"/>
            <w:bottom w:val="none" w:sz="0" w:space="0" w:color="auto"/>
            <w:right w:val="none" w:sz="0" w:space="0" w:color="auto"/>
          </w:divBdr>
          <w:divsChild>
            <w:div w:id="1512137104">
              <w:marLeft w:val="0"/>
              <w:marRight w:val="0"/>
              <w:marTop w:val="0"/>
              <w:marBottom w:val="501"/>
              <w:divBdr>
                <w:top w:val="none" w:sz="0" w:space="0" w:color="auto"/>
                <w:left w:val="none" w:sz="0" w:space="0" w:color="auto"/>
                <w:bottom w:val="none" w:sz="0" w:space="0" w:color="auto"/>
                <w:right w:val="none" w:sz="0" w:space="0" w:color="auto"/>
              </w:divBdr>
              <w:divsChild>
                <w:div w:id="414326818">
                  <w:marLeft w:val="0"/>
                  <w:marRight w:val="0"/>
                  <w:marTop w:val="0"/>
                  <w:marBottom w:val="0"/>
                  <w:divBdr>
                    <w:top w:val="none" w:sz="0" w:space="0" w:color="auto"/>
                    <w:left w:val="none" w:sz="0" w:space="0" w:color="auto"/>
                    <w:bottom w:val="none" w:sz="0" w:space="0" w:color="auto"/>
                    <w:right w:val="none" w:sz="0" w:space="0" w:color="auto"/>
                  </w:divBdr>
                  <w:divsChild>
                    <w:div w:id="1317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80852">
      <w:bodyDiv w:val="1"/>
      <w:marLeft w:val="0"/>
      <w:marRight w:val="0"/>
      <w:marTop w:val="0"/>
      <w:marBottom w:val="0"/>
      <w:divBdr>
        <w:top w:val="none" w:sz="0" w:space="0" w:color="auto"/>
        <w:left w:val="none" w:sz="0" w:space="0" w:color="auto"/>
        <w:bottom w:val="none" w:sz="0" w:space="0" w:color="auto"/>
        <w:right w:val="none" w:sz="0" w:space="0" w:color="auto"/>
      </w:divBdr>
    </w:div>
    <w:div w:id="1678582617">
      <w:bodyDiv w:val="1"/>
      <w:marLeft w:val="0"/>
      <w:marRight w:val="0"/>
      <w:marTop w:val="0"/>
      <w:marBottom w:val="0"/>
      <w:divBdr>
        <w:top w:val="none" w:sz="0" w:space="0" w:color="auto"/>
        <w:left w:val="none" w:sz="0" w:space="0" w:color="auto"/>
        <w:bottom w:val="none" w:sz="0" w:space="0" w:color="auto"/>
        <w:right w:val="none" w:sz="0" w:space="0" w:color="auto"/>
      </w:divBdr>
      <w:divsChild>
        <w:div w:id="836307191">
          <w:marLeft w:val="0"/>
          <w:marRight w:val="0"/>
          <w:marTop w:val="0"/>
          <w:marBottom w:val="0"/>
          <w:divBdr>
            <w:top w:val="none" w:sz="0" w:space="0" w:color="auto"/>
            <w:left w:val="none" w:sz="0" w:space="0" w:color="auto"/>
            <w:bottom w:val="none" w:sz="0" w:space="0" w:color="auto"/>
            <w:right w:val="none" w:sz="0" w:space="0" w:color="auto"/>
          </w:divBdr>
        </w:div>
        <w:div w:id="29689978">
          <w:marLeft w:val="0"/>
          <w:marRight w:val="0"/>
          <w:marTop w:val="0"/>
          <w:marBottom w:val="0"/>
          <w:divBdr>
            <w:top w:val="none" w:sz="0" w:space="0" w:color="auto"/>
            <w:left w:val="none" w:sz="0" w:space="0" w:color="auto"/>
            <w:bottom w:val="none" w:sz="0" w:space="0" w:color="auto"/>
            <w:right w:val="none" w:sz="0" w:space="0" w:color="auto"/>
          </w:divBdr>
        </w:div>
        <w:div w:id="1206412204">
          <w:marLeft w:val="0"/>
          <w:marRight w:val="0"/>
          <w:marTop w:val="0"/>
          <w:marBottom w:val="501"/>
          <w:divBdr>
            <w:top w:val="none" w:sz="0" w:space="0" w:color="auto"/>
            <w:left w:val="none" w:sz="0" w:space="0" w:color="auto"/>
            <w:bottom w:val="none" w:sz="0" w:space="0" w:color="auto"/>
            <w:right w:val="none" w:sz="0" w:space="0" w:color="auto"/>
          </w:divBdr>
          <w:divsChild>
            <w:div w:id="12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A51B5-135A-4E99-8F45-DE1C3655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001KiselevaTI</dc:creator>
  <cp:lastModifiedBy>Кабертай Мариет Мисирипшевна</cp:lastModifiedBy>
  <cp:revision>10</cp:revision>
  <cp:lastPrinted>2019-12-11T05:53:00Z</cp:lastPrinted>
  <dcterms:created xsi:type="dcterms:W3CDTF">2019-12-09T13:05:00Z</dcterms:created>
  <dcterms:modified xsi:type="dcterms:W3CDTF">2020-01-13T11:47:00Z</dcterms:modified>
</cp:coreProperties>
</file>